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0A335" w14:textId="77777777" w:rsidR="0095546A" w:rsidRPr="00867133" w:rsidRDefault="009965A9">
      <w:pPr>
        <w:rPr>
          <w:rFonts w:asciiTheme="minorHAnsi" w:hAnsiTheme="minorHAnsi" w:cstheme="minorHAnsi"/>
          <w:szCs w:val="24"/>
        </w:rPr>
      </w:pPr>
      <w:bookmarkStart w:id="0" w:name="_GoBack"/>
      <w:bookmarkEnd w:id="0"/>
      <w:r w:rsidRPr="00867133">
        <w:rPr>
          <w:rFonts w:asciiTheme="minorHAnsi" w:hAnsiTheme="minorHAnsi" w:cstheme="minorHAnsi"/>
          <w:noProof/>
          <w:szCs w:val="24"/>
        </w:rPr>
        <w:drawing>
          <wp:anchor distT="0" distB="0" distL="114300" distR="114300" simplePos="0" relativeHeight="251658240" behindDoc="0" locked="0" layoutInCell="1" allowOverlap="1" wp14:anchorId="3AD77739" wp14:editId="4AF9A432">
            <wp:simplePos x="0" y="0"/>
            <wp:positionH relativeFrom="margin">
              <wp:align>center</wp:align>
            </wp:positionH>
            <wp:positionV relativeFrom="margin">
              <wp:posOffset>-647700</wp:posOffset>
            </wp:positionV>
            <wp:extent cx="3049270"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y Documents\Templates\CSI Style Guide and Logo\Charter Schools Institute logo fin.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049270"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6DCDEB7" w14:textId="77777777" w:rsidR="000E2AA8" w:rsidRPr="000E2AA8" w:rsidRDefault="000E2AA8" w:rsidP="000E2AA8">
      <w:pPr>
        <w:spacing w:line="276" w:lineRule="auto"/>
        <w:contextualSpacing/>
        <w:jc w:val="center"/>
        <w:rPr>
          <w:rFonts w:ascii="Calibri" w:eastAsia="Calibri" w:hAnsi="Calibri" w:cs="Calibri"/>
          <w:b/>
          <w:spacing w:val="-10"/>
          <w:kern w:val="28"/>
          <w:sz w:val="36"/>
          <w:szCs w:val="36"/>
        </w:rPr>
      </w:pPr>
      <w:r w:rsidRPr="000E2AA8">
        <w:rPr>
          <w:rFonts w:ascii="Calibri" w:eastAsia="Calibri" w:hAnsi="Calibri" w:cs="Calibri"/>
          <w:b/>
          <w:spacing w:val="-10"/>
          <w:kern w:val="28"/>
          <w:sz w:val="36"/>
          <w:szCs w:val="36"/>
        </w:rPr>
        <w:t>Data Framework for Analysis Guidelines 2020-21</w:t>
      </w:r>
    </w:p>
    <w:p w14:paraId="5258D0BF" w14:textId="77777777" w:rsidR="000E2AA8" w:rsidRPr="000E2AA8" w:rsidRDefault="000E2AA8" w:rsidP="000E2AA8">
      <w:pPr>
        <w:spacing w:after="120"/>
        <w:contextualSpacing/>
        <w:rPr>
          <w:rFonts w:ascii="Calibri" w:hAnsi="Calibri" w:cs="Calibri"/>
          <w:sz w:val="22"/>
          <w:szCs w:val="22"/>
        </w:rPr>
      </w:pPr>
    </w:p>
    <w:p w14:paraId="344D070E" w14:textId="6043A0F6" w:rsidR="000E2AA8" w:rsidRPr="000E2AA8" w:rsidRDefault="000E2AA8" w:rsidP="000E2AA8">
      <w:pPr>
        <w:spacing w:after="120"/>
        <w:contextualSpacing/>
        <w:rPr>
          <w:rFonts w:ascii="Calibri" w:hAnsi="Calibri" w:cs="Calibri"/>
          <w:sz w:val="22"/>
          <w:szCs w:val="22"/>
        </w:rPr>
      </w:pPr>
      <w:r w:rsidRPr="000E2AA8">
        <w:rPr>
          <w:rFonts w:ascii="Calibri" w:hAnsi="Calibri" w:cs="Calibri"/>
          <w:sz w:val="22"/>
          <w:szCs w:val="22"/>
        </w:rPr>
        <w:t xml:space="preserve">This document provides guidance and business rules for the measures included in the SUNY Charter Schools Institute’s (“the Institute’s”) analysis framework for schools that administer the NWEA MAP and/or </w:t>
      </w:r>
      <w:proofErr w:type="spellStart"/>
      <w:r w:rsidRPr="000E2AA8">
        <w:rPr>
          <w:rFonts w:ascii="Calibri" w:hAnsi="Calibri" w:cs="Calibri"/>
          <w:sz w:val="22"/>
          <w:szCs w:val="22"/>
        </w:rPr>
        <w:t>i</w:t>
      </w:r>
      <w:proofErr w:type="spellEnd"/>
      <w:r w:rsidRPr="000E2AA8">
        <w:rPr>
          <w:rFonts w:ascii="Calibri" w:hAnsi="Calibri" w:cs="Calibri"/>
          <w:sz w:val="22"/>
          <w:szCs w:val="22"/>
        </w:rPr>
        <w:t>-Ready assessments.  Each measure</w:t>
      </w:r>
      <w:r w:rsidR="008267C0">
        <w:rPr>
          <w:rFonts w:ascii="Calibri" w:hAnsi="Calibri" w:cs="Calibri"/>
          <w:sz w:val="22"/>
          <w:szCs w:val="22"/>
        </w:rPr>
        <w:t xml:space="preserve"> below</w:t>
      </w:r>
      <w:r w:rsidRPr="000E2AA8">
        <w:rPr>
          <w:rFonts w:ascii="Calibri" w:hAnsi="Calibri" w:cs="Calibri"/>
          <w:sz w:val="22"/>
          <w:szCs w:val="22"/>
        </w:rPr>
        <w:t xml:space="preserve"> applies </w:t>
      </w:r>
      <w:r w:rsidR="008267C0">
        <w:rPr>
          <w:rFonts w:ascii="Calibri" w:hAnsi="Calibri" w:cs="Calibri"/>
          <w:sz w:val="22"/>
          <w:szCs w:val="22"/>
        </w:rPr>
        <w:t xml:space="preserve">to </w:t>
      </w:r>
      <w:r w:rsidRPr="000E2AA8">
        <w:rPr>
          <w:rFonts w:ascii="Calibri" w:hAnsi="Calibri" w:cs="Calibri"/>
          <w:sz w:val="22"/>
          <w:szCs w:val="22"/>
        </w:rPr>
        <w:t>both English language arts (“ELA”) and mathematics for 3</w:t>
      </w:r>
      <w:r w:rsidRPr="000E2AA8">
        <w:rPr>
          <w:rFonts w:ascii="Calibri" w:hAnsi="Calibri" w:cs="Calibri"/>
          <w:sz w:val="22"/>
          <w:szCs w:val="22"/>
          <w:vertAlign w:val="superscript"/>
        </w:rPr>
        <w:t>rd</w:t>
      </w:r>
      <w:r w:rsidRPr="000E2AA8">
        <w:rPr>
          <w:rFonts w:ascii="Calibri" w:hAnsi="Calibri" w:cs="Calibri"/>
          <w:sz w:val="22"/>
          <w:szCs w:val="22"/>
        </w:rPr>
        <w:t xml:space="preserve"> - 8</w:t>
      </w:r>
      <w:r w:rsidRPr="000E2AA8">
        <w:rPr>
          <w:rFonts w:ascii="Calibri" w:hAnsi="Calibri" w:cs="Calibri"/>
          <w:sz w:val="22"/>
          <w:szCs w:val="22"/>
          <w:vertAlign w:val="superscript"/>
        </w:rPr>
        <w:t>th</w:t>
      </w:r>
      <w:r w:rsidRPr="000E2AA8">
        <w:rPr>
          <w:rFonts w:ascii="Calibri" w:hAnsi="Calibri" w:cs="Calibri"/>
          <w:sz w:val="22"/>
          <w:szCs w:val="22"/>
        </w:rPr>
        <w:t xml:space="preserve"> grades.  Please review this guidance document and direct any questions or concerns to Sinnjinn Bucknell, the Institute’s Director of Performance and Systems (</w:t>
      </w:r>
      <w:hyperlink r:id="rId12" w:history="1">
        <w:r w:rsidRPr="000E2AA8">
          <w:rPr>
            <w:rFonts w:ascii="Calibri" w:hAnsi="Calibri" w:cs="Calibri"/>
            <w:color w:val="0000FF"/>
            <w:sz w:val="22"/>
            <w:szCs w:val="22"/>
            <w:u w:val="single"/>
          </w:rPr>
          <w:t>Sinnjinn.bucknell@suny.edu</w:t>
        </w:r>
      </w:hyperlink>
      <w:r w:rsidRPr="000E2AA8">
        <w:rPr>
          <w:rFonts w:ascii="Calibri" w:hAnsi="Calibri" w:cs="Calibri"/>
          <w:sz w:val="22"/>
          <w:szCs w:val="22"/>
        </w:rPr>
        <w:t xml:space="preserve">).  </w:t>
      </w:r>
    </w:p>
    <w:p w14:paraId="0A146B7F" w14:textId="77777777" w:rsidR="000E2AA8" w:rsidRPr="000E2AA8" w:rsidRDefault="000E2AA8" w:rsidP="000E2AA8">
      <w:pPr>
        <w:spacing w:after="160" w:line="276" w:lineRule="auto"/>
        <w:rPr>
          <w:rFonts w:ascii="Calibri" w:eastAsia="Calibri" w:hAnsi="Calibri" w:cs="Calibri"/>
          <w:b/>
          <w:bCs/>
          <w:sz w:val="22"/>
          <w:szCs w:val="22"/>
        </w:rPr>
      </w:pPr>
    </w:p>
    <w:p w14:paraId="4C6C9E95" w14:textId="03E15026" w:rsidR="000E2AA8" w:rsidRPr="000E2AA8" w:rsidRDefault="000E2AA8" w:rsidP="000E2AA8">
      <w:pPr>
        <w:spacing w:after="160" w:line="276" w:lineRule="auto"/>
        <w:rPr>
          <w:rFonts w:ascii="Calibri" w:eastAsia="Calibri" w:hAnsi="Calibri" w:cs="Calibri"/>
          <w:b/>
          <w:bCs/>
          <w:sz w:val="22"/>
          <w:szCs w:val="22"/>
        </w:rPr>
      </w:pPr>
      <w:r w:rsidRPr="000E2AA8">
        <w:rPr>
          <w:rFonts w:ascii="Calibri" w:eastAsia="Calibri" w:hAnsi="Calibri" w:cs="Calibri"/>
          <w:b/>
          <w:bCs/>
          <w:sz w:val="22"/>
          <w:szCs w:val="22"/>
        </w:rPr>
        <w:t>Absolute measu</w:t>
      </w:r>
      <w:r w:rsidR="008267C0">
        <w:rPr>
          <w:rFonts w:ascii="Calibri" w:eastAsia="Calibri" w:hAnsi="Calibri" w:cs="Calibri"/>
          <w:b/>
          <w:bCs/>
          <w:sz w:val="22"/>
          <w:szCs w:val="22"/>
        </w:rPr>
        <w:t xml:space="preserve">re: Each year, 75 percent of </w:t>
      </w:r>
      <w:proofErr w:type="gramStart"/>
      <w:r w:rsidR="008267C0">
        <w:rPr>
          <w:rFonts w:ascii="Calibri" w:eastAsia="Calibri" w:hAnsi="Calibri" w:cs="Calibri"/>
          <w:b/>
          <w:bCs/>
          <w:sz w:val="22"/>
          <w:szCs w:val="22"/>
        </w:rPr>
        <w:t>3</w:t>
      </w:r>
      <w:r w:rsidR="008267C0" w:rsidRPr="008267C0">
        <w:rPr>
          <w:rFonts w:ascii="Calibri" w:eastAsia="Calibri" w:hAnsi="Calibri" w:cs="Calibri"/>
          <w:b/>
          <w:bCs/>
          <w:sz w:val="22"/>
          <w:szCs w:val="22"/>
          <w:vertAlign w:val="superscript"/>
        </w:rPr>
        <w:t>rd</w:t>
      </w:r>
      <w:proofErr w:type="gramEnd"/>
      <w:r w:rsidR="008267C0">
        <w:rPr>
          <w:rFonts w:ascii="Calibri" w:eastAsia="Calibri" w:hAnsi="Calibri" w:cs="Calibri"/>
          <w:b/>
          <w:bCs/>
          <w:sz w:val="22"/>
          <w:szCs w:val="22"/>
        </w:rPr>
        <w:t> through 8</w:t>
      </w:r>
      <w:r w:rsidR="008267C0" w:rsidRPr="008267C0">
        <w:rPr>
          <w:rFonts w:ascii="Calibri" w:eastAsia="Calibri" w:hAnsi="Calibri" w:cs="Calibri"/>
          <w:b/>
          <w:bCs/>
          <w:sz w:val="22"/>
          <w:szCs w:val="22"/>
          <w:vertAlign w:val="superscript"/>
        </w:rPr>
        <w:t>th</w:t>
      </w:r>
      <w:r w:rsidRPr="000E2AA8">
        <w:rPr>
          <w:rFonts w:ascii="Calibri" w:eastAsia="Calibri" w:hAnsi="Calibri" w:cs="Calibri"/>
          <w:b/>
          <w:bCs/>
          <w:sz w:val="22"/>
          <w:szCs w:val="22"/>
        </w:rPr>
        <w:t> grade students who are enrolled in at least their second year will perform at or above the equivalent of grade level standards.</w:t>
      </w:r>
    </w:p>
    <w:p w14:paraId="7E0CA3D9" w14:textId="407824E4" w:rsidR="000E2AA8" w:rsidRPr="000E2AA8" w:rsidRDefault="000E2AA8" w:rsidP="000E2AA8">
      <w:pPr>
        <w:spacing w:after="160" w:line="276" w:lineRule="auto"/>
        <w:rPr>
          <w:rFonts w:ascii="Calibri" w:eastAsia="Calibri" w:hAnsi="Calibri" w:cs="Calibri"/>
          <w:sz w:val="22"/>
          <w:szCs w:val="22"/>
        </w:rPr>
      </w:pPr>
      <w:r w:rsidRPr="000E2AA8">
        <w:rPr>
          <w:rFonts w:ascii="Calibri" w:eastAsia="Calibri" w:hAnsi="Calibri" w:cs="Calibri"/>
          <w:sz w:val="22"/>
          <w:szCs w:val="22"/>
        </w:rPr>
        <w:t>In order to account for the effect of the school’s program on individual achievement, students who have only recently enrolled at the school are not included in the analysis</w:t>
      </w:r>
      <w:proofErr w:type="gramStart"/>
      <w:r w:rsidRPr="000E2AA8">
        <w:rPr>
          <w:rFonts w:ascii="Calibri" w:eastAsia="Calibri" w:hAnsi="Calibri" w:cs="Calibri"/>
          <w:sz w:val="22"/>
          <w:szCs w:val="22"/>
        </w:rPr>
        <w:t>;</w:t>
      </w:r>
      <w:proofErr w:type="gramEnd"/>
      <w:r w:rsidRPr="000E2AA8">
        <w:rPr>
          <w:rFonts w:ascii="Calibri" w:eastAsia="Calibri" w:hAnsi="Calibri" w:cs="Calibri"/>
          <w:sz w:val="22"/>
          <w:szCs w:val="22"/>
        </w:rPr>
        <w:t xml:space="preserve"> only students who are enrolled in at least their second year at the school are considered. Students </w:t>
      </w:r>
      <w:proofErr w:type="gramStart"/>
      <w:r w:rsidRPr="000E2AA8">
        <w:rPr>
          <w:rFonts w:ascii="Calibri" w:eastAsia="Calibri" w:hAnsi="Calibri" w:cs="Calibri"/>
          <w:sz w:val="22"/>
          <w:szCs w:val="22"/>
        </w:rPr>
        <w:t>are deemed to be enrolled</w:t>
      </w:r>
      <w:proofErr w:type="gramEnd"/>
      <w:r w:rsidRPr="000E2AA8">
        <w:rPr>
          <w:rFonts w:ascii="Calibri" w:eastAsia="Calibri" w:hAnsi="Calibri" w:cs="Calibri"/>
          <w:sz w:val="22"/>
          <w:szCs w:val="22"/>
        </w:rPr>
        <w:t xml:space="preserve"> in at least their second year if they were enrol</w:t>
      </w:r>
      <w:r w:rsidR="008267C0">
        <w:rPr>
          <w:rFonts w:ascii="Calibri" w:eastAsia="Calibri" w:hAnsi="Calibri" w:cs="Calibri"/>
          <w:sz w:val="22"/>
          <w:szCs w:val="22"/>
        </w:rPr>
        <w:t>led at the school on</w:t>
      </w:r>
      <w:r w:rsidRPr="000E2AA8">
        <w:rPr>
          <w:rFonts w:ascii="Calibri" w:eastAsia="Calibri" w:hAnsi="Calibri" w:cs="Calibri"/>
          <w:sz w:val="22"/>
          <w:szCs w:val="22"/>
        </w:rPr>
        <w:t xml:space="preserve"> BEDS Day, the first Wednesday in October, of the previous school year.</w:t>
      </w:r>
    </w:p>
    <w:p w14:paraId="45F6C759" w14:textId="317A4633" w:rsidR="000E2AA8" w:rsidRPr="000E2AA8" w:rsidRDefault="000E2AA8" w:rsidP="000E2AA8">
      <w:pPr>
        <w:spacing w:after="160" w:line="276" w:lineRule="auto"/>
        <w:ind w:left="720"/>
        <w:rPr>
          <w:rFonts w:ascii="Calibri" w:eastAsia="Calibri" w:hAnsi="Calibri" w:cs="Calibri"/>
          <w:sz w:val="22"/>
          <w:szCs w:val="22"/>
        </w:rPr>
      </w:pPr>
      <w:r w:rsidRPr="000E2AA8">
        <w:rPr>
          <w:rFonts w:ascii="Calibri" w:eastAsia="Calibri" w:hAnsi="Calibri" w:cs="Calibri"/>
          <w:b/>
          <w:bCs/>
          <w:sz w:val="22"/>
          <w:szCs w:val="22"/>
        </w:rPr>
        <w:t>NWEA MAP:</w:t>
      </w:r>
      <w:r w:rsidR="008267C0">
        <w:rPr>
          <w:rFonts w:ascii="Calibri" w:eastAsia="Calibri" w:hAnsi="Calibri" w:cs="Calibri"/>
          <w:sz w:val="22"/>
          <w:szCs w:val="22"/>
        </w:rPr>
        <w:t xml:space="preserve"> Each year, 75% of </w:t>
      </w:r>
      <w:proofErr w:type="gramStart"/>
      <w:r w:rsidR="008267C0">
        <w:rPr>
          <w:rFonts w:ascii="Calibri" w:eastAsia="Calibri" w:hAnsi="Calibri" w:cs="Calibri"/>
          <w:sz w:val="22"/>
          <w:szCs w:val="22"/>
        </w:rPr>
        <w:t>3</w:t>
      </w:r>
      <w:r w:rsidR="008267C0" w:rsidRPr="008267C0">
        <w:rPr>
          <w:rFonts w:ascii="Calibri" w:eastAsia="Calibri" w:hAnsi="Calibri" w:cs="Calibri"/>
          <w:sz w:val="22"/>
          <w:szCs w:val="22"/>
          <w:vertAlign w:val="superscript"/>
        </w:rPr>
        <w:t>rd</w:t>
      </w:r>
      <w:proofErr w:type="gramEnd"/>
      <w:r w:rsidR="008267C0">
        <w:rPr>
          <w:rFonts w:ascii="Calibri" w:eastAsia="Calibri" w:hAnsi="Calibri" w:cs="Calibri"/>
          <w:sz w:val="22"/>
          <w:szCs w:val="22"/>
        </w:rPr>
        <w:t> through 8</w:t>
      </w:r>
      <w:r w:rsidR="008267C0" w:rsidRPr="008267C0">
        <w:rPr>
          <w:rFonts w:ascii="Calibri" w:eastAsia="Calibri" w:hAnsi="Calibri" w:cs="Calibri"/>
          <w:sz w:val="22"/>
          <w:szCs w:val="22"/>
          <w:vertAlign w:val="superscript"/>
        </w:rPr>
        <w:t>th</w:t>
      </w:r>
      <w:r w:rsidRPr="000E2AA8">
        <w:rPr>
          <w:rFonts w:ascii="Calibri" w:eastAsia="Calibri" w:hAnsi="Calibri" w:cs="Calibri"/>
          <w:sz w:val="22"/>
          <w:szCs w:val="22"/>
        </w:rPr>
        <w:t> grade students enrolled in at least their second year at the school will meet or exceed the RIT score proficiency equivalent according to the most recent linking study comparing NWEA Growth to New York State standards.  </w:t>
      </w:r>
    </w:p>
    <w:p w14:paraId="274A8391" w14:textId="77777777" w:rsidR="000E2AA8" w:rsidRPr="000E2AA8" w:rsidRDefault="000E2AA8" w:rsidP="000E2AA8">
      <w:pPr>
        <w:spacing w:after="160" w:line="276" w:lineRule="auto"/>
        <w:ind w:left="720"/>
        <w:rPr>
          <w:rFonts w:ascii="Calibri" w:eastAsia="Calibri" w:hAnsi="Calibri" w:cs="Calibri"/>
          <w:bCs/>
          <w:sz w:val="22"/>
          <w:szCs w:val="22"/>
        </w:rPr>
      </w:pPr>
      <w:r w:rsidRPr="000E2AA8">
        <w:rPr>
          <w:rFonts w:ascii="Calibri" w:eastAsia="Calibri" w:hAnsi="Calibri" w:cs="Calibri"/>
          <w:sz w:val="22"/>
          <w:szCs w:val="22"/>
        </w:rPr>
        <w:t xml:space="preserve">In order to best approximate grade-level standards for the NWEA Map, the Institute uses </w:t>
      </w:r>
      <w:r w:rsidRPr="000E2AA8">
        <w:rPr>
          <w:rFonts w:ascii="Calibri" w:eastAsia="Calibri" w:hAnsi="Calibri" w:cs="Calibri"/>
          <w:bCs/>
          <w:sz w:val="22"/>
          <w:szCs w:val="22"/>
        </w:rPr>
        <w:t xml:space="preserve">the RIT score proficiency equivalents available in the most recent linking available from the test publisher found </w:t>
      </w:r>
      <w:hyperlink r:id="rId13" w:history="1">
        <w:r w:rsidRPr="000E2AA8">
          <w:rPr>
            <w:rFonts w:ascii="Calibri" w:eastAsia="Calibri" w:hAnsi="Calibri" w:cs="Calibri"/>
            <w:bCs/>
            <w:color w:val="0563C1"/>
            <w:sz w:val="22"/>
            <w:szCs w:val="22"/>
            <w:u w:val="single"/>
          </w:rPr>
          <w:t>here</w:t>
        </w:r>
      </w:hyperlink>
      <w:r w:rsidRPr="000E2AA8">
        <w:rPr>
          <w:rFonts w:ascii="Calibri" w:eastAsia="Calibri" w:hAnsi="Calibri" w:cs="Calibri"/>
          <w:bCs/>
          <w:sz w:val="22"/>
          <w:szCs w:val="22"/>
        </w:rPr>
        <w:t>.  Schools should refer to pages 15-16, tables 3.5 and 3.6.  Students whose end-of-year RIT score is above the corresponding grade-level equivalent for scoring Level 3 or higher will be considered to have met or exceeded the proficiency equivalent. The cut scores are as follows:</w:t>
      </w:r>
    </w:p>
    <w:tbl>
      <w:tblPr>
        <w:tblW w:w="3920" w:type="dxa"/>
        <w:tblInd w:w="2971" w:type="dxa"/>
        <w:tblLook w:val="04A0" w:firstRow="1" w:lastRow="0" w:firstColumn="1" w:lastColumn="0" w:noHBand="0" w:noVBand="1"/>
      </w:tblPr>
      <w:tblGrid>
        <w:gridCol w:w="960"/>
        <w:gridCol w:w="1300"/>
        <w:gridCol w:w="1660"/>
      </w:tblGrid>
      <w:tr w:rsidR="000E2AA8" w:rsidRPr="000E2AA8" w14:paraId="2D92AAD2" w14:textId="77777777" w:rsidTr="00940E0B">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60A2B"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Grade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CE1122D"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 xml:space="preserve">ELA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1831A3E"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Mathematics</w:t>
            </w:r>
          </w:p>
        </w:tc>
      </w:tr>
      <w:tr w:rsidR="000E2AA8" w:rsidRPr="000E2AA8" w14:paraId="132BE72E" w14:textId="77777777" w:rsidTr="00940E0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AFFC26"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3</w:t>
            </w:r>
          </w:p>
        </w:tc>
        <w:tc>
          <w:tcPr>
            <w:tcW w:w="1300" w:type="dxa"/>
            <w:tcBorders>
              <w:top w:val="nil"/>
              <w:left w:val="nil"/>
              <w:bottom w:val="single" w:sz="4" w:space="0" w:color="auto"/>
              <w:right w:val="single" w:sz="4" w:space="0" w:color="auto"/>
            </w:tcBorders>
            <w:shd w:val="clear" w:color="auto" w:fill="auto"/>
            <w:noWrap/>
            <w:vAlign w:val="bottom"/>
            <w:hideMark/>
          </w:tcPr>
          <w:p w14:paraId="7069310B"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201</w:t>
            </w:r>
          </w:p>
        </w:tc>
        <w:tc>
          <w:tcPr>
            <w:tcW w:w="1660" w:type="dxa"/>
            <w:tcBorders>
              <w:top w:val="nil"/>
              <w:left w:val="nil"/>
              <w:bottom w:val="single" w:sz="4" w:space="0" w:color="auto"/>
              <w:right w:val="single" w:sz="4" w:space="0" w:color="auto"/>
            </w:tcBorders>
            <w:shd w:val="clear" w:color="auto" w:fill="auto"/>
            <w:noWrap/>
            <w:vAlign w:val="bottom"/>
            <w:hideMark/>
          </w:tcPr>
          <w:p w14:paraId="0E8B5AED"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202</w:t>
            </w:r>
          </w:p>
        </w:tc>
      </w:tr>
      <w:tr w:rsidR="000E2AA8" w:rsidRPr="000E2AA8" w14:paraId="61ED38E6" w14:textId="77777777" w:rsidTr="00940E0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508237"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4</w:t>
            </w:r>
          </w:p>
        </w:tc>
        <w:tc>
          <w:tcPr>
            <w:tcW w:w="1300" w:type="dxa"/>
            <w:tcBorders>
              <w:top w:val="nil"/>
              <w:left w:val="nil"/>
              <w:bottom w:val="single" w:sz="4" w:space="0" w:color="auto"/>
              <w:right w:val="single" w:sz="4" w:space="0" w:color="auto"/>
            </w:tcBorders>
            <w:shd w:val="clear" w:color="auto" w:fill="auto"/>
            <w:noWrap/>
            <w:vAlign w:val="bottom"/>
            <w:hideMark/>
          </w:tcPr>
          <w:p w14:paraId="29A03BCB"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209</w:t>
            </w:r>
          </w:p>
        </w:tc>
        <w:tc>
          <w:tcPr>
            <w:tcW w:w="1660" w:type="dxa"/>
            <w:tcBorders>
              <w:top w:val="nil"/>
              <w:left w:val="nil"/>
              <w:bottom w:val="single" w:sz="4" w:space="0" w:color="auto"/>
              <w:right w:val="single" w:sz="4" w:space="0" w:color="auto"/>
            </w:tcBorders>
            <w:shd w:val="clear" w:color="auto" w:fill="auto"/>
            <w:noWrap/>
            <w:vAlign w:val="bottom"/>
            <w:hideMark/>
          </w:tcPr>
          <w:p w14:paraId="03229CFD"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214</w:t>
            </w:r>
          </w:p>
        </w:tc>
      </w:tr>
      <w:tr w:rsidR="000E2AA8" w:rsidRPr="000E2AA8" w14:paraId="3DABF4C7" w14:textId="77777777" w:rsidTr="00940E0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ACC917"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5</w:t>
            </w:r>
          </w:p>
        </w:tc>
        <w:tc>
          <w:tcPr>
            <w:tcW w:w="1300" w:type="dxa"/>
            <w:tcBorders>
              <w:top w:val="nil"/>
              <w:left w:val="nil"/>
              <w:bottom w:val="single" w:sz="4" w:space="0" w:color="auto"/>
              <w:right w:val="single" w:sz="4" w:space="0" w:color="auto"/>
            </w:tcBorders>
            <w:shd w:val="clear" w:color="auto" w:fill="auto"/>
            <w:noWrap/>
            <w:vAlign w:val="bottom"/>
            <w:hideMark/>
          </w:tcPr>
          <w:p w14:paraId="53AB59A9"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218</w:t>
            </w:r>
          </w:p>
        </w:tc>
        <w:tc>
          <w:tcPr>
            <w:tcW w:w="1660" w:type="dxa"/>
            <w:tcBorders>
              <w:top w:val="nil"/>
              <w:left w:val="nil"/>
              <w:bottom w:val="single" w:sz="4" w:space="0" w:color="auto"/>
              <w:right w:val="single" w:sz="4" w:space="0" w:color="auto"/>
            </w:tcBorders>
            <w:shd w:val="clear" w:color="auto" w:fill="auto"/>
            <w:noWrap/>
            <w:vAlign w:val="bottom"/>
            <w:hideMark/>
          </w:tcPr>
          <w:p w14:paraId="6F9B8E38"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226</w:t>
            </w:r>
          </w:p>
        </w:tc>
      </w:tr>
      <w:tr w:rsidR="000E2AA8" w:rsidRPr="000E2AA8" w14:paraId="6B4207FC" w14:textId="77777777" w:rsidTr="00940E0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DA48A5"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6</w:t>
            </w:r>
          </w:p>
        </w:tc>
        <w:tc>
          <w:tcPr>
            <w:tcW w:w="1300" w:type="dxa"/>
            <w:tcBorders>
              <w:top w:val="nil"/>
              <w:left w:val="nil"/>
              <w:bottom w:val="single" w:sz="4" w:space="0" w:color="auto"/>
              <w:right w:val="single" w:sz="4" w:space="0" w:color="auto"/>
            </w:tcBorders>
            <w:shd w:val="clear" w:color="auto" w:fill="auto"/>
            <w:noWrap/>
            <w:vAlign w:val="bottom"/>
            <w:hideMark/>
          </w:tcPr>
          <w:p w14:paraId="392186F5"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219</w:t>
            </w:r>
          </w:p>
        </w:tc>
        <w:tc>
          <w:tcPr>
            <w:tcW w:w="1660" w:type="dxa"/>
            <w:tcBorders>
              <w:top w:val="nil"/>
              <w:left w:val="nil"/>
              <w:bottom w:val="single" w:sz="4" w:space="0" w:color="auto"/>
              <w:right w:val="single" w:sz="4" w:space="0" w:color="auto"/>
            </w:tcBorders>
            <w:shd w:val="clear" w:color="auto" w:fill="auto"/>
            <w:noWrap/>
            <w:vAlign w:val="bottom"/>
            <w:hideMark/>
          </w:tcPr>
          <w:p w14:paraId="56433480"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227</w:t>
            </w:r>
          </w:p>
        </w:tc>
      </w:tr>
      <w:tr w:rsidR="000E2AA8" w:rsidRPr="000E2AA8" w14:paraId="11BA1BC7" w14:textId="77777777" w:rsidTr="00940E0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39478E"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7</w:t>
            </w:r>
          </w:p>
        </w:tc>
        <w:tc>
          <w:tcPr>
            <w:tcW w:w="1300" w:type="dxa"/>
            <w:tcBorders>
              <w:top w:val="nil"/>
              <w:left w:val="nil"/>
              <w:bottom w:val="single" w:sz="4" w:space="0" w:color="auto"/>
              <w:right w:val="single" w:sz="4" w:space="0" w:color="auto"/>
            </w:tcBorders>
            <w:shd w:val="clear" w:color="auto" w:fill="auto"/>
            <w:noWrap/>
            <w:vAlign w:val="bottom"/>
            <w:hideMark/>
          </w:tcPr>
          <w:p w14:paraId="337AF9EA"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225</w:t>
            </w:r>
          </w:p>
        </w:tc>
        <w:tc>
          <w:tcPr>
            <w:tcW w:w="1660" w:type="dxa"/>
            <w:tcBorders>
              <w:top w:val="nil"/>
              <w:left w:val="nil"/>
              <w:bottom w:val="single" w:sz="4" w:space="0" w:color="auto"/>
              <w:right w:val="single" w:sz="4" w:space="0" w:color="auto"/>
            </w:tcBorders>
            <w:shd w:val="clear" w:color="auto" w:fill="auto"/>
            <w:noWrap/>
            <w:vAlign w:val="bottom"/>
            <w:hideMark/>
          </w:tcPr>
          <w:p w14:paraId="0FD24BFE"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234</w:t>
            </w:r>
          </w:p>
        </w:tc>
      </w:tr>
      <w:tr w:rsidR="000E2AA8" w:rsidRPr="000E2AA8" w14:paraId="4E24CAB1" w14:textId="77777777" w:rsidTr="00940E0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C8663B"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8</w:t>
            </w:r>
          </w:p>
        </w:tc>
        <w:tc>
          <w:tcPr>
            <w:tcW w:w="1300" w:type="dxa"/>
            <w:tcBorders>
              <w:top w:val="nil"/>
              <w:left w:val="nil"/>
              <w:bottom w:val="single" w:sz="4" w:space="0" w:color="auto"/>
              <w:right w:val="single" w:sz="4" w:space="0" w:color="auto"/>
            </w:tcBorders>
            <w:shd w:val="clear" w:color="auto" w:fill="auto"/>
            <w:noWrap/>
            <w:vAlign w:val="bottom"/>
            <w:hideMark/>
          </w:tcPr>
          <w:p w14:paraId="42069D1B"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226</w:t>
            </w:r>
          </w:p>
        </w:tc>
        <w:tc>
          <w:tcPr>
            <w:tcW w:w="1660" w:type="dxa"/>
            <w:tcBorders>
              <w:top w:val="nil"/>
              <w:left w:val="nil"/>
              <w:bottom w:val="single" w:sz="4" w:space="0" w:color="auto"/>
              <w:right w:val="single" w:sz="4" w:space="0" w:color="auto"/>
            </w:tcBorders>
            <w:shd w:val="clear" w:color="auto" w:fill="auto"/>
            <w:noWrap/>
            <w:vAlign w:val="bottom"/>
            <w:hideMark/>
          </w:tcPr>
          <w:p w14:paraId="12C5ED14"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241</w:t>
            </w:r>
          </w:p>
        </w:tc>
      </w:tr>
    </w:tbl>
    <w:p w14:paraId="7480CB81" w14:textId="77777777" w:rsidR="000E2AA8" w:rsidRPr="000E2AA8" w:rsidRDefault="000E2AA8" w:rsidP="000E2AA8">
      <w:pPr>
        <w:spacing w:after="160" w:line="276" w:lineRule="auto"/>
        <w:ind w:left="720"/>
        <w:rPr>
          <w:rFonts w:ascii="Calibri" w:eastAsia="Calibri" w:hAnsi="Calibri" w:cs="Calibri"/>
          <w:sz w:val="22"/>
          <w:szCs w:val="22"/>
        </w:rPr>
      </w:pPr>
    </w:p>
    <w:p w14:paraId="0C0C0096" w14:textId="77777777" w:rsidR="000E2AA8" w:rsidRPr="000E2AA8" w:rsidRDefault="000E2AA8" w:rsidP="000E2AA8">
      <w:pPr>
        <w:spacing w:after="160" w:line="276" w:lineRule="auto"/>
        <w:ind w:left="1440"/>
        <w:contextualSpacing/>
        <w:rPr>
          <w:rFonts w:ascii="Calibri" w:eastAsia="Calibri" w:hAnsi="Calibri" w:cs="Calibri"/>
          <w:sz w:val="22"/>
          <w:szCs w:val="22"/>
        </w:rPr>
      </w:pPr>
    </w:p>
    <w:p w14:paraId="437F438C" w14:textId="72BC11E3" w:rsidR="000E2AA8" w:rsidRPr="000E2AA8" w:rsidRDefault="000E2AA8" w:rsidP="000E2AA8">
      <w:pPr>
        <w:spacing w:after="160" w:line="276" w:lineRule="auto"/>
        <w:ind w:left="720"/>
        <w:rPr>
          <w:rFonts w:ascii="Calibri" w:eastAsia="Calibri" w:hAnsi="Calibri" w:cs="Calibri"/>
          <w:sz w:val="22"/>
          <w:szCs w:val="22"/>
        </w:rPr>
      </w:pPr>
      <w:r w:rsidRPr="000E2AA8">
        <w:rPr>
          <w:rFonts w:ascii="Calibri" w:eastAsia="Calibri" w:hAnsi="Calibri" w:cs="Calibri"/>
          <w:b/>
          <w:bCs/>
          <w:sz w:val="22"/>
          <w:szCs w:val="22"/>
        </w:rPr>
        <w:t>Curriculum Associates I-Ready:</w:t>
      </w:r>
      <w:r w:rsidR="008267C0">
        <w:rPr>
          <w:rFonts w:ascii="Calibri" w:eastAsia="Calibri" w:hAnsi="Calibri" w:cs="Calibri"/>
          <w:sz w:val="22"/>
          <w:szCs w:val="22"/>
        </w:rPr>
        <w:t xml:space="preserve"> Each year, 75% of 3</w:t>
      </w:r>
      <w:r w:rsidR="008267C0" w:rsidRPr="008267C0">
        <w:rPr>
          <w:rFonts w:ascii="Calibri" w:eastAsia="Calibri" w:hAnsi="Calibri" w:cs="Calibri"/>
          <w:sz w:val="22"/>
          <w:szCs w:val="22"/>
          <w:vertAlign w:val="superscript"/>
        </w:rPr>
        <w:t>rd</w:t>
      </w:r>
      <w:r w:rsidR="008267C0">
        <w:rPr>
          <w:rFonts w:ascii="Calibri" w:eastAsia="Calibri" w:hAnsi="Calibri" w:cs="Calibri"/>
          <w:sz w:val="22"/>
          <w:szCs w:val="22"/>
        </w:rPr>
        <w:t> through 8</w:t>
      </w:r>
      <w:r w:rsidR="008267C0" w:rsidRPr="008267C0">
        <w:rPr>
          <w:rFonts w:ascii="Calibri" w:eastAsia="Calibri" w:hAnsi="Calibri" w:cs="Calibri"/>
          <w:sz w:val="22"/>
          <w:szCs w:val="22"/>
          <w:vertAlign w:val="superscript"/>
        </w:rPr>
        <w:t>th</w:t>
      </w:r>
      <w:r w:rsidRPr="000E2AA8">
        <w:rPr>
          <w:rFonts w:ascii="Calibri" w:eastAsia="Calibri" w:hAnsi="Calibri" w:cs="Calibri"/>
          <w:sz w:val="22"/>
          <w:szCs w:val="22"/>
        </w:rPr>
        <w:t> grade students enrolled in at least their second year at the school will score at the </w:t>
      </w:r>
      <w:proofErr w:type="spellStart"/>
      <w:r w:rsidRPr="000E2AA8">
        <w:rPr>
          <w:rFonts w:ascii="Calibri" w:eastAsia="Calibri" w:hAnsi="Calibri" w:cs="Calibri"/>
          <w:i/>
          <w:iCs/>
          <w:sz w:val="22"/>
          <w:szCs w:val="22"/>
        </w:rPr>
        <w:t>mid on</w:t>
      </w:r>
      <w:proofErr w:type="spellEnd"/>
      <w:r w:rsidRPr="000E2AA8">
        <w:rPr>
          <w:rFonts w:ascii="Calibri" w:eastAsia="Calibri" w:hAnsi="Calibri" w:cs="Calibri"/>
          <w:i/>
          <w:iCs/>
          <w:sz w:val="22"/>
          <w:szCs w:val="22"/>
        </w:rPr>
        <w:t xml:space="preserve">-grade level or above </w:t>
      </w:r>
      <w:r w:rsidRPr="000E2AA8">
        <w:rPr>
          <w:rFonts w:ascii="Calibri" w:eastAsia="Calibri" w:hAnsi="Calibri" w:cs="Calibri"/>
          <w:sz w:val="22"/>
          <w:szCs w:val="22"/>
        </w:rPr>
        <w:t>scale score</w:t>
      </w:r>
      <w:r w:rsidRPr="000E2AA8">
        <w:rPr>
          <w:rFonts w:ascii="Calibri" w:eastAsia="Calibri" w:hAnsi="Calibri" w:cs="Calibri"/>
          <w:sz w:val="22"/>
          <w:szCs w:val="22"/>
          <w:vertAlign w:val="superscript"/>
        </w:rPr>
        <w:t xml:space="preserve"> </w:t>
      </w:r>
      <w:r w:rsidRPr="000E2AA8">
        <w:rPr>
          <w:rFonts w:ascii="Calibri" w:eastAsia="Calibri" w:hAnsi="Calibri" w:cs="Calibri"/>
          <w:sz w:val="22"/>
          <w:szCs w:val="22"/>
        </w:rPr>
        <w:t>for the year-end assessment. </w:t>
      </w:r>
    </w:p>
    <w:p w14:paraId="044F2F86" w14:textId="77777777" w:rsidR="000E2AA8" w:rsidRPr="000E2AA8" w:rsidRDefault="000E2AA8" w:rsidP="000E2AA8">
      <w:pPr>
        <w:spacing w:after="160" w:line="276" w:lineRule="auto"/>
        <w:ind w:left="720"/>
        <w:rPr>
          <w:rFonts w:ascii="Calibri" w:eastAsia="Calibri" w:hAnsi="Calibri" w:cs="Calibri"/>
          <w:bCs/>
          <w:sz w:val="22"/>
          <w:szCs w:val="22"/>
        </w:rPr>
      </w:pPr>
      <w:r w:rsidRPr="000E2AA8">
        <w:rPr>
          <w:rFonts w:ascii="Calibri" w:eastAsia="Calibri" w:hAnsi="Calibri" w:cs="Calibri"/>
          <w:sz w:val="22"/>
          <w:szCs w:val="22"/>
        </w:rPr>
        <w:lastRenderedPageBreak/>
        <w:t xml:space="preserve">In order to best approximate grade-level standards for </w:t>
      </w:r>
      <w:proofErr w:type="gramStart"/>
      <w:r w:rsidRPr="000E2AA8">
        <w:rPr>
          <w:rFonts w:ascii="Calibri" w:eastAsia="Calibri" w:hAnsi="Calibri" w:cs="Calibri"/>
          <w:sz w:val="22"/>
          <w:szCs w:val="22"/>
        </w:rPr>
        <w:t xml:space="preserve">the </w:t>
      </w:r>
      <w:proofErr w:type="spellStart"/>
      <w:r w:rsidRPr="000E2AA8">
        <w:rPr>
          <w:rFonts w:ascii="Calibri" w:eastAsia="Calibri" w:hAnsi="Calibri" w:cs="Calibri"/>
          <w:sz w:val="22"/>
          <w:szCs w:val="22"/>
        </w:rPr>
        <w:t>i</w:t>
      </w:r>
      <w:proofErr w:type="spellEnd"/>
      <w:proofErr w:type="gramEnd"/>
      <w:r w:rsidRPr="000E2AA8">
        <w:rPr>
          <w:rFonts w:ascii="Calibri" w:eastAsia="Calibri" w:hAnsi="Calibri" w:cs="Calibri"/>
          <w:sz w:val="22"/>
          <w:szCs w:val="22"/>
        </w:rPr>
        <w:t xml:space="preserve">-Ready, the Institute uses the end-of-year </w:t>
      </w:r>
      <w:r w:rsidRPr="000E2AA8">
        <w:rPr>
          <w:rFonts w:ascii="Calibri" w:eastAsia="Calibri" w:hAnsi="Calibri" w:cs="Calibri"/>
          <w:bCs/>
          <w:sz w:val="22"/>
          <w:szCs w:val="22"/>
        </w:rPr>
        <w:t xml:space="preserve">relative placement levels. Students whose end-of-year relative placement score is </w:t>
      </w:r>
      <w:proofErr w:type="spellStart"/>
      <w:r w:rsidRPr="000E2AA8">
        <w:rPr>
          <w:rFonts w:ascii="Calibri" w:eastAsia="Calibri" w:hAnsi="Calibri" w:cs="Calibri"/>
          <w:bCs/>
          <w:i/>
          <w:sz w:val="22"/>
          <w:szCs w:val="22"/>
        </w:rPr>
        <w:t>mid on</w:t>
      </w:r>
      <w:proofErr w:type="spellEnd"/>
      <w:r w:rsidRPr="000E2AA8">
        <w:rPr>
          <w:rFonts w:ascii="Calibri" w:eastAsia="Calibri" w:hAnsi="Calibri" w:cs="Calibri"/>
          <w:bCs/>
          <w:i/>
          <w:sz w:val="22"/>
          <w:szCs w:val="22"/>
        </w:rPr>
        <w:t xml:space="preserve"> grade level or above </w:t>
      </w:r>
      <w:proofErr w:type="gramStart"/>
      <w:r w:rsidRPr="000E2AA8">
        <w:rPr>
          <w:rFonts w:ascii="Calibri" w:eastAsia="Calibri" w:hAnsi="Calibri" w:cs="Calibri"/>
          <w:bCs/>
          <w:sz w:val="22"/>
          <w:szCs w:val="22"/>
        </w:rPr>
        <w:t>will be considered</w:t>
      </w:r>
      <w:proofErr w:type="gramEnd"/>
      <w:r w:rsidRPr="000E2AA8">
        <w:rPr>
          <w:rFonts w:ascii="Calibri" w:eastAsia="Calibri" w:hAnsi="Calibri" w:cs="Calibri"/>
          <w:bCs/>
          <w:sz w:val="22"/>
          <w:szCs w:val="22"/>
        </w:rPr>
        <w:t xml:space="preserve"> to have met or exceeded the proficiency equivalent. For reference, the possible placement levels include: </w:t>
      </w:r>
    </w:p>
    <w:p w14:paraId="6CDEDD1A" w14:textId="77777777" w:rsidR="000E2AA8" w:rsidRPr="000E2AA8" w:rsidRDefault="000E2AA8" w:rsidP="000E2AA8">
      <w:pPr>
        <w:numPr>
          <w:ilvl w:val="0"/>
          <w:numId w:val="21"/>
        </w:numPr>
        <w:spacing w:after="160" w:line="259" w:lineRule="auto"/>
        <w:ind w:left="1800" w:firstLine="0"/>
        <w:textAlignment w:val="baseline"/>
        <w:rPr>
          <w:rFonts w:ascii="Calibri" w:hAnsi="Calibri" w:cs="Calibri"/>
          <w:sz w:val="22"/>
          <w:szCs w:val="22"/>
        </w:rPr>
      </w:pPr>
      <w:r w:rsidRPr="000E2AA8">
        <w:rPr>
          <w:rFonts w:ascii="Calibri" w:hAnsi="Calibri" w:cs="Calibri"/>
          <w:sz w:val="22"/>
          <w:szCs w:val="22"/>
        </w:rPr>
        <w:t>On grade level, mid, late, or above  </w:t>
      </w:r>
    </w:p>
    <w:p w14:paraId="3CD51BD7" w14:textId="77777777" w:rsidR="000E2AA8" w:rsidRPr="000E2AA8" w:rsidRDefault="000E2AA8" w:rsidP="000E2AA8">
      <w:pPr>
        <w:numPr>
          <w:ilvl w:val="0"/>
          <w:numId w:val="21"/>
        </w:numPr>
        <w:spacing w:after="160" w:line="259" w:lineRule="auto"/>
        <w:ind w:left="1800" w:firstLine="0"/>
        <w:textAlignment w:val="baseline"/>
        <w:rPr>
          <w:rFonts w:ascii="Calibri" w:hAnsi="Calibri" w:cs="Calibri"/>
          <w:sz w:val="22"/>
          <w:szCs w:val="22"/>
        </w:rPr>
      </w:pPr>
      <w:r w:rsidRPr="000E2AA8">
        <w:rPr>
          <w:rFonts w:ascii="Calibri" w:hAnsi="Calibri" w:cs="Calibri"/>
          <w:sz w:val="22"/>
          <w:szCs w:val="22"/>
        </w:rPr>
        <w:t>On grade level, early  </w:t>
      </w:r>
    </w:p>
    <w:p w14:paraId="5699E870" w14:textId="77777777" w:rsidR="000E2AA8" w:rsidRPr="000E2AA8" w:rsidRDefault="000E2AA8" w:rsidP="000E2AA8">
      <w:pPr>
        <w:numPr>
          <w:ilvl w:val="0"/>
          <w:numId w:val="21"/>
        </w:numPr>
        <w:spacing w:after="160" w:line="259" w:lineRule="auto"/>
        <w:ind w:left="1800" w:firstLine="0"/>
        <w:textAlignment w:val="baseline"/>
        <w:rPr>
          <w:rFonts w:ascii="Calibri" w:hAnsi="Calibri" w:cs="Calibri"/>
          <w:sz w:val="22"/>
          <w:szCs w:val="22"/>
        </w:rPr>
      </w:pPr>
      <w:r w:rsidRPr="000E2AA8">
        <w:rPr>
          <w:rFonts w:ascii="Calibri" w:hAnsi="Calibri" w:cs="Calibri"/>
          <w:sz w:val="22"/>
          <w:szCs w:val="22"/>
        </w:rPr>
        <w:t>One grade level below  </w:t>
      </w:r>
    </w:p>
    <w:p w14:paraId="6976E8A7" w14:textId="77777777" w:rsidR="000E2AA8" w:rsidRPr="000E2AA8" w:rsidRDefault="000E2AA8" w:rsidP="000E2AA8">
      <w:pPr>
        <w:numPr>
          <w:ilvl w:val="0"/>
          <w:numId w:val="21"/>
        </w:numPr>
        <w:spacing w:after="160" w:line="259" w:lineRule="auto"/>
        <w:ind w:left="1800" w:firstLine="0"/>
        <w:textAlignment w:val="baseline"/>
        <w:rPr>
          <w:rFonts w:ascii="Calibri" w:hAnsi="Calibri" w:cs="Calibri"/>
          <w:sz w:val="22"/>
          <w:szCs w:val="22"/>
        </w:rPr>
      </w:pPr>
      <w:r w:rsidRPr="000E2AA8">
        <w:rPr>
          <w:rFonts w:ascii="Calibri" w:hAnsi="Calibri" w:cs="Calibri"/>
          <w:sz w:val="22"/>
          <w:szCs w:val="22"/>
        </w:rPr>
        <w:t>Two grade levels below  </w:t>
      </w:r>
    </w:p>
    <w:p w14:paraId="11C831F3" w14:textId="77777777" w:rsidR="000E2AA8" w:rsidRPr="000E2AA8" w:rsidRDefault="000E2AA8" w:rsidP="000E2AA8">
      <w:pPr>
        <w:numPr>
          <w:ilvl w:val="0"/>
          <w:numId w:val="22"/>
        </w:numPr>
        <w:spacing w:after="160" w:line="259" w:lineRule="auto"/>
        <w:ind w:left="1800" w:firstLine="0"/>
        <w:textAlignment w:val="baseline"/>
        <w:rPr>
          <w:rFonts w:ascii="Calibri" w:hAnsi="Calibri" w:cs="Calibri"/>
          <w:sz w:val="22"/>
          <w:szCs w:val="22"/>
        </w:rPr>
      </w:pPr>
      <w:r w:rsidRPr="000E2AA8">
        <w:rPr>
          <w:rFonts w:ascii="Calibri" w:hAnsi="Calibri" w:cs="Calibri"/>
          <w:sz w:val="22"/>
          <w:szCs w:val="22"/>
        </w:rPr>
        <w:t>Three or more grade levels below </w:t>
      </w:r>
    </w:p>
    <w:p w14:paraId="4831049A" w14:textId="77777777" w:rsidR="000E2AA8" w:rsidRPr="000E2AA8" w:rsidRDefault="000E2AA8" w:rsidP="000E2AA8">
      <w:pPr>
        <w:spacing w:after="160" w:line="276" w:lineRule="auto"/>
        <w:rPr>
          <w:rFonts w:ascii="Calibri" w:eastAsia="Calibri" w:hAnsi="Calibri" w:cs="Calibri"/>
          <w:b/>
          <w:bCs/>
          <w:sz w:val="22"/>
          <w:szCs w:val="22"/>
        </w:rPr>
      </w:pPr>
    </w:p>
    <w:p w14:paraId="1B8A732C" w14:textId="77777777" w:rsidR="000E2AA8" w:rsidRPr="000E2AA8" w:rsidRDefault="000E2AA8" w:rsidP="000E2AA8">
      <w:pPr>
        <w:spacing w:after="160" w:line="276" w:lineRule="auto"/>
        <w:rPr>
          <w:rFonts w:ascii="Calibri" w:eastAsia="Calibri" w:hAnsi="Calibri" w:cs="Calibri"/>
          <w:b/>
          <w:bCs/>
          <w:sz w:val="22"/>
          <w:szCs w:val="22"/>
        </w:rPr>
      </w:pPr>
      <w:r w:rsidRPr="000E2AA8">
        <w:rPr>
          <w:rFonts w:ascii="Calibri" w:eastAsia="Calibri" w:hAnsi="Calibri" w:cs="Calibri"/>
          <w:b/>
          <w:bCs/>
          <w:sz w:val="22"/>
          <w:szCs w:val="22"/>
        </w:rPr>
        <w:t xml:space="preserve">Growth measure: Each year, students grow at the normed rate according to the beginning of year baseline score. </w:t>
      </w:r>
    </w:p>
    <w:p w14:paraId="29710FB1" w14:textId="66A3ADB0" w:rsidR="000E2AA8" w:rsidRPr="000E2AA8" w:rsidRDefault="000E2AA8" w:rsidP="000E2AA8">
      <w:pPr>
        <w:spacing w:after="160" w:line="276" w:lineRule="auto"/>
        <w:rPr>
          <w:rFonts w:ascii="Calibri" w:eastAsia="Calibri" w:hAnsi="Calibri" w:cs="Calibri"/>
          <w:color w:val="000000"/>
          <w:sz w:val="22"/>
          <w:szCs w:val="22"/>
        </w:rPr>
      </w:pPr>
      <w:r w:rsidRPr="000E2AA8">
        <w:rPr>
          <w:rFonts w:ascii="Calibri" w:eastAsia="Calibri" w:hAnsi="Calibri" w:cs="Calibri"/>
          <w:sz w:val="22"/>
          <w:szCs w:val="22"/>
        </w:rPr>
        <w:t>Schools should demonstrate that students make the typical within-year growth c</w:t>
      </w:r>
      <w:r w:rsidR="008267C0">
        <w:rPr>
          <w:rFonts w:ascii="Calibri" w:eastAsia="Calibri" w:hAnsi="Calibri" w:cs="Calibri"/>
          <w:sz w:val="22"/>
          <w:szCs w:val="22"/>
        </w:rPr>
        <w:t>ompared to similar students, i.e</w:t>
      </w:r>
      <w:r w:rsidRPr="000E2AA8">
        <w:rPr>
          <w:rFonts w:ascii="Calibri" w:eastAsia="Calibri" w:hAnsi="Calibri" w:cs="Calibri"/>
          <w:sz w:val="22"/>
          <w:szCs w:val="22"/>
        </w:rPr>
        <w:t xml:space="preserve">. the normed rate.  Instead of looking at the average growth, the Institute requests that schools report the </w:t>
      </w:r>
      <w:r w:rsidRPr="000E2AA8">
        <w:rPr>
          <w:rFonts w:ascii="Calibri" w:eastAsia="Calibri" w:hAnsi="Calibri" w:cs="Calibri"/>
          <w:sz w:val="22"/>
          <w:szCs w:val="22"/>
          <w:u w:val="single"/>
        </w:rPr>
        <w:t>median</w:t>
      </w:r>
      <w:r w:rsidRPr="000E2AA8">
        <w:rPr>
          <w:rFonts w:ascii="Calibri" w:eastAsia="Calibri" w:hAnsi="Calibri" w:cs="Calibri"/>
          <w:sz w:val="22"/>
          <w:szCs w:val="22"/>
        </w:rPr>
        <w:t xml:space="preserve"> growth across all tested students in order to account for extreme values in the data set.  In contrast to the absolute measure, the growth and gap closing measures look at the entire tested student group and not just students enrolled in at least their second year.</w:t>
      </w:r>
    </w:p>
    <w:p w14:paraId="7173AF52" w14:textId="304B34B8" w:rsidR="000E2AA8" w:rsidRPr="000E2AA8" w:rsidRDefault="000E2AA8" w:rsidP="000E2AA8">
      <w:pPr>
        <w:spacing w:after="160" w:line="276" w:lineRule="auto"/>
        <w:ind w:left="720"/>
        <w:rPr>
          <w:rFonts w:ascii="Calibri" w:eastAsia="Calibri" w:hAnsi="Calibri" w:cs="Calibri"/>
          <w:sz w:val="22"/>
          <w:szCs w:val="22"/>
        </w:rPr>
      </w:pPr>
      <w:r w:rsidRPr="000E2AA8">
        <w:rPr>
          <w:rFonts w:ascii="Calibri" w:eastAsia="Calibri" w:hAnsi="Calibri" w:cs="Calibri"/>
          <w:b/>
          <w:bCs/>
          <w:sz w:val="22"/>
          <w:szCs w:val="22"/>
        </w:rPr>
        <w:t>NWEA MAP:</w:t>
      </w:r>
      <w:r w:rsidRPr="000E2AA8">
        <w:rPr>
          <w:rFonts w:ascii="Calibri" w:eastAsia="Calibri" w:hAnsi="Calibri" w:cs="Calibri"/>
          <w:sz w:val="22"/>
          <w:szCs w:val="22"/>
        </w:rPr>
        <w:t xml:space="preserve"> Each year, the school's median growth percentile of all </w:t>
      </w:r>
      <w:proofErr w:type="gramStart"/>
      <w:r w:rsidRPr="000E2AA8">
        <w:rPr>
          <w:rFonts w:ascii="Calibri" w:eastAsia="Calibri" w:hAnsi="Calibri" w:cs="Calibri"/>
          <w:sz w:val="22"/>
          <w:szCs w:val="22"/>
        </w:rPr>
        <w:t>3</w:t>
      </w:r>
      <w:r w:rsidRPr="000E2AA8">
        <w:rPr>
          <w:rFonts w:ascii="Calibri" w:eastAsia="Calibri" w:hAnsi="Calibri" w:cs="Calibri"/>
          <w:sz w:val="22"/>
          <w:szCs w:val="22"/>
          <w:vertAlign w:val="superscript"/>
        </w:rPr>
        <w:t>rd</w:t>
      </w:r>
      <w:proofErr w:type="gramEnd"/>
      <w:r w:rsidRPr="000E2AA8">
        <w:rPr>
          <w:rFonts w:ascii="Calibri" w:eastAsia="Calibri" w:hAnsi="Calibri" w:cs="Calibri"/>
          <w:sz w:val="22"/>
          <w:szCs w:val="22"/>
        </w:rPr>
        <w:t xml:space="preserve"> through 8</w:t>
      </w:r>
      <w:r w:rsidRPr="000E2AA8">
        <w:rPr>
          <w:rFonts w:ascii="Calibri" w:eastAsia="Calibri" w:hAnsi="Calibri" w:cs="Calibri"/>
          <w:sz w:val="22"/>
          <w:szCs w:val="22"/>
          <w:vertAlign w:val="superscript"/>
        </w:rPr>
        <w:t>th</w:t>
      </w:r>
      <w:r w:rsidRPr="000E2AA8">
        <w:rPr>
          <w:rFonts w:ascii="Calibri" w:eastAsia="Calibri" w:hAnsi="Calibri" w:cs="Calibri"/>
          <w:sz w:val="22"/>
          <w:szCs w:val="22"/>
        </w:rPr>
        <w:t xml:space="preserve"> grade students will be greater than 50.  </w:t>
      </w:r>
    </w:p>
    <w:p w14:paraId="7E19DB90" w14:textId="77777777" w:rsidR="000E2AA8" w:rsidRPr="000E2AA8" w:rsidRDefault="000E2AA8" w:rsidP="000E2AA8">
      <w:pPr>
        <w:spacing w:after="160" w:line="276" w:lineRule="auto"/>
        <w:ind w:left="720"/>
        <w:rPr>
          <w:rFonts w:ascii="Calibri" w:eastAsia="Calibri" w:hAnsi="Calibri" w:cs="Calibri"/>
          <w:sz w:val="22"/>
          <w:szCs w:val="22"/>
        </w:rPr>
      </w:pPr>
      <w:r w:rsidRPr="000E2AA8">
        <w:rPr>
          <w:rFonts w:ascii="Calibri" w:eastAsia="Calibri" w:hAnsi="Calibri" w:cs="Calibri"/>
          <w:sz w:val="22"/>
          <w:szCs w:val="22"/>
        </w:rPr>
        <w:t xml:space="preserve">The MAP exam reports student growth in the form of a percentile from zero to 100.  The Institute will compare the schools’ median </w:t>
      </w:r>
      <w:r w:rsidRPr="000E2AA8">
        <w:rPr>
          <w:rFonts w:ascii="Calibri" w:eastAsia="Calibri" w:hAnsi="Calibri" w:cs="Calibri"/>
          <w:i/>
          <w:sz w:val="22"/>
          <w:szCs w:val="22"/>
        </w:rPr>
        <w:t>conditional growth percentile</w:t>
      </w:r>
      <w:r w:rsidRPr="000E2AA8">
        <w:rPr>
          <w:rFonts w:ascii="Calibri" w:eastAsia="Calibri" w:hAnsi="Calibri" w:cs="Calibri"/>
          <w:sz w:val="22"/>
          <w:szCs w:val="22"/>
        </w:rPr>
        <w:t xml:space="preserve"> from the end-of-year administration to the target of 50.</w:t>
      </w:r>
    </w:p>
    <w:p w14:paraId="41093067" w14:textId="77777777" w:rsidR="000E2AA8" w:rsidRPr="000E2AA8" w:rsidRDefault="000E2AA8" w:rsidP="000E2AA8">
      <w:pPr>
        <w:spacing w:after="160" w:line="276" w:lineRule="auto"/>
        <w:ind w:left="720"/>
        <w:rPr>
          <w:rFonts w:ascii="Calibri" w:eastAsia="Calibri" w:hAnsi="Calibri" w:cs="Calibri"/>
          <w:sz w:val="22"/>
          <w:szCs w:val="22"/>
        </w:rPr>
      </w:pPr>
      <w:r w:rsidRPr="000E2AA8">
        <w:rPr>
          <w:rFonts w:ascii="Calibri" w:eastAsia="Calibri" w:hAnsi="Calibri" w:cs="Calibri"/>
          <w:b/>
          <w:bCs/>
          <w:sz w:val="22"/>
          <w:szCs w:val="22"/>
        </w:rPr>
        <w:t xml:space="preserve">Curriculum Associates </w:t>
      </w:r>
      <w:proofErr w:type="spellStart"/>
      <w:r w:rsidRPr="000E2AA8">
        <w:rPr>
          <w:rFonts w:ascii="Calibri" w:eastAsia="Calibri" w:hAnsi="Calibri" w:cs="Calibri"/>
          <w:b/>
          <w:bCs/>
          <w:sz w:val="22"/>
          <w:szCs w:val="22"/>
        </w:rPr>
        <w:t>i</w:t>
      </w:r>
      <w:proofErr w:type="spellEnd"/>
      <w:r w:rsidRPr="000E2AA8">
        <w:rPr>
          <w:rFonts w:ascii="Calibri" w:eastAsia="Calibri" w:hAnsi="Calibri" w:cs="Calibri"/>
          <w:b/>
          <w:bCs/>
          <w:sz w:val="22"/>
          <w:szCs w:val="22"/>
        </w:rPr>
        <w:t>-Ready:</w:t>
      </w:r>
      <w:r w:rsidRPr="000E2AA8">
        <w:rPr>
          <w:rFonts w:ascii="Calibri" w:eastAsia="Calibri" w:hAnsi="Calibri" w:cs="Calibri"/>
          <w:sz w:val="22"/>
          <w:szCs w:val="22"/>
        </w:rPr>
        <w:t xml:space="preserve"> Each year, the school’s median percent of Annual Typical Growth of all 3</w:t>
      </w:r>
      <w:r w:rsidRPr="000E2AA8">
        <w:rPr>
          <w:rFonts w:ascii="Calibri" w:eastAsia="Calibri" w:hAnsi="Calibri" w:cs="Calibri"/>
          <w:sz w:val="22"/>
          <w:szCs w:val="22"/>
          <w:vertAlign w:val="superscript"/>
        </w:rPr>
        <w:t>rd</w:t>
      </w:r>
      <w:r w:rsidRPr="000E2AA8">
        <w:rPr>
          <w:rFonts w:ascii="Calibri" w:eastAsia="Calibri" w:hAnsi="Calibri" w:cs="Calibri"/>
          <w:sz w:val="22"/>
          <w:szCs w:val="22"/>
        </w:rPr>
        <w:t> through 8</w:t>
      </w:r>
      <w:r w:rsidRPr="000E2AA8">
        <w:rPr>
          <w:rFonts w:ascii="Calibri" w:eastAsia="Calibri" w:hAnsi="Calibri" w:cs="Calibri"/>
          <w:sz w:val="22"/>
          <w:szCs w:val="22"/>
          <w:vertAlign w:val="superscript"/>
        </w:rPr>
        <w:t>th</w:t>
      </w:r>
      <w:r w:rsidRPr="000E2AA8">
        <w:rPr>
          <w:rFonts w:ascii="Calibri" w:eastAsia="Calibri" w:hAnsi="Calibri" w:cs="Calibri"/>
          <w:sz w:val="22"/>
          <w:szCs w:val="22"/>
        </w:rPr>
        <w:t> grade students will be equal to or greater than 100%.</w:t>
      </w:r>
    </w:p>
    <w:p w14:paraId="1892BA75" w14:textId="77777777" w:rsidR="000E2AA8" w:rsidRPr="000E2AA8" w:rsidRDefault="000E2AA8" w:rsidP="000E2AA8">
      <w:pPr>
        <w:spacing w:after="160" w:line="276" w:lineRule="auto"/>
        <w:ind w:left="720"/>
        <w:rPr>
          <w:rFonts w:ascii="Calibri" w:eastAsia="Calibri" w:hAnsi="Calibri" w:cs="Calibri"/>
          <w:sz w:val="22"/>
          <w:szCs w:val="22"/>
        </w:rPr>
      </w:pPr>
      <w:proofErr w:type="gramStart"/>
      <w:r w:rsidRPr="000E2AA8">
        <w:rPr>
          <w:rFonts w:ascii="Calibri" w:eastAsia="Calibri" w:hAnsi="Calibri" w:cs="Calibri"/>
          <w:sz w:val="22"/>
          <w:szCs w:val="22"/>
        </w:rPr>
        <w:t xml:space="preserve">The </w:t>
      </w:r>
      <w:proofErr w:type="spellStart"/>
      <w:r w:rsidRPr="000E2AA8">
        <w:rPr>
          <w:rFonts w:ascii="Calibri" w:eastAsia="Calibri" w:hAnsi="Calibri" w:cs="Calibri"/>
          <w:sz w:val="22"/>
          <w:szCs w:val="22"/>
        </w:rPr>
        <w:t>i</w:t>
      </w:r>
      <w:proofErr w:type="spellEnd"/>
      <w:proofErr w:type="gramEnd"/>
      <w:r w:rsidRPr="000E2AA8">
        <w:rPr>
          <w:rFonts w:ascii="Calibri" w:eastAsia="Calibri" w:hAnsi="Calibri" w:cs="Calibri"/>
          <w:sz w:val="22"/>
          <w:szCs w:val="22"/>
        </w:rPr>
        <w:t xml:space="preserve">-ready exam reports two types of growth targets: </w:t>
      </w:r>
      <w:r w:rsidRPr="000E2AA8">
        <w:rPr>
          <w:rFonts w:ascii="Calibri" w:eastAsia="Calibri" w:hAnsi="Calibri" w:cs="Calibri"/>
          <w:i/>
          <w:sz w:val="22"/>
          <w:szCs w:val="22"/>
        </w:rPr>
        <w:t>annual typical growth</w:t>
      </w:r>
      <w:r w:rsidRPr="000E2AA8">
        <w:rPr>
          <w:rFonts w:ascii="Calibri" w:eastAsia="Calibri" w:hAnsi="Calibri" w:cs="Calibri"/>
          <w:sz w:val="22"/>
          <w:szCs w:val="22"/>
        </w:rPr>
        <w:t xml:space="preserve"> and </w:t>
      </w:r>
      <w:r w:rsidRPr="000E2AA8">
        <w:rPr>
          <w:rFonts w:ascii="Calibri" w:eastAsia="Calibri" w:hAnsi="Calibri" w:cs="Calibri"/>
          <w:i/>
          <w:sz w:val="22"/>
          <w:szCs w:val="22"/>
        </w:rPr>
        <w:t>stretch growth</w:t>
      </w:r>
      <w:r w:rsidRPr="000E2AA8">
        <w:rPr>
          <w:rFonts w:ascii="Calibri" w:eastAsia="Calibri" w:hAnsi="Calibri" w:cs="Calibri"/>
          <w:sz w:val="22"/>
          <w:szCs w:val="22"/>
        </w:rPr>
        <w:t xml:space="preserve">. For purposes of this analysis framework, the Institute will look at the school’s median </w:t>
      </w:r>
      <w:r w:rsidRPr="000E2AA8">
        <w:rPr>
          <w:rFonts w:ascii="Calibri" w:eastAsia="Calibri" w:hAnsi="Calibri" w:cs="Calibri"/>
          <w:i/>
          <w:sz w:val="22"/>
          <w:szCs w:val="22"/>
        </w:rPr>
        <w:t>percent progress to annual typical growth</w:t>
      </w:r>
      <w:r w:rsidRPr="000E2AA8">
        <w:rPr>
          <w:rFonts w:ascii="Calibri" w:eastAsia="Calibri" w:hAnsi="Calibri" w:cs="Calibri"/>
          <w:sz w:val="22"/>
          <w:szCs w:val="22"/>
        </w:rPr>
        <w:t xml:space="preserve"> on the end-of-year administration, which is a percentage that can exceed 100%.  </w:t>
      </w:r>
    </w:p>
    <w:p w14:paraId="5A7259F2" w14:textId="50325361" w:rsidR="000E2AA8" w:rsidRPr="000E2AA8" w:rsidRDefault="000E2AA8" w:rsidP="000E2AA8">
      <w:pPr>
        <w:spacing w:after="160" w:line="276" w:lineRule="auto"/>
        <w:rPr>
          <w:rFonts w:ascii="Calibri" w:eastAsia="Calibri" w:hAnsi="Calibri" w:cs="Calibri"/>
          <w:sz w:val="22"/>
          <w:szCs w:val="22"/>
        </w:rPr>
      </w:pPr>
    </w:p>
    <w:p w14:paraId="6FF16D22" w14:textId="77777777" w:rsidR="000E2AA8" w:rsidRPr="000E2AA8" w:rsidRDefault="000E2AA8" w:rsidP="000E2AA8">
      <w:pPr>
        <w:spacing w:after="160" w:line="276" w:lineRule="auto"/>
        <w:rPr>
          <w:rFonts w:ascii="Calibri" w:eastAsia="Calibri" w:hAnsi="Calibri" w:cs="Calibri"/>
          <w:b/>
          <w:bCs/>
          <w:sz w:val="22"/>
          <w:szCs w:val="22"/>
        </w:rPr>
      </w:pPr>
      <w:r w:rsidRPr="000E2AA8">
        <w:rPr>
          <w:rFonts w:ascii="Calibri" w:eastAsia="Calibri" w:hAnsi="Calibri" w:cs="Calibri"/>
          <w:b/>
          <w:bCs/>
          <w:sz w:val="22"/>
          <w:szCs w:val="22"/>
        </w:rPr>
        <w:t>Gap closing measure 1: Each year, the median growth of students with low initial absolute achievement is greater than the target.</w:t>
      </w:r>
    </w:p>
    <w:p w14:paraId="1BF4917D" w14:textId="77777777" w:rsidR="000E2AA8" w:rsidRPr="000E2AA8" w:rsidRDefault="000E2AA8" w:rsidP="000E2AA8">
      <w:pPr>
        <w:spacing w:after="160" w:line="276" w:lineRule="auto"/>
        <w:rPr>
          <w:rFonts w:ascii="Calibri" w:eastAsia="Calibri" w:hAnsi="Calibri" w:cs="Calibri"/>
          <w:sz w:val="22"/>
          <w:szCs w:val="22"/>
        </w:rPr>
      </w:pPr>
      <w:r w:rsidRPr="000E2AA8">
        <w:rPr>
          <w:rFonts w:ascii="Calibri" w:eastAsia="Calibri" w:hAnsi="Calibri" w:cs="Calibri"/>
          <w:sz w:val="22"/>
          <w:szCs w:val="22"/>
        </w:rPr>
        <w:t xml:space="preserve">Students “with low initial absolute achievement” refers to students whose beginning-of-year fall baseline score did not meet criteria that best approximates New York State grade level standards.  Schools should demonstrate that those students make even greater than typical within-year growth.  </w:t>
      </w:r>
      <w:r w:rsidRPr="000E2AA8">
        <w:rPr>
          <w:rFonts w:ascii="Calibri" w:eastAsia="Calibri" w:hAnsi="Calibri" w:cs="Calibri"/>
          <w:sz w:val="22"/>
          <w:szCs w:val="22"/>
        </w:rPr>
        <w:lastRenderedPageBreak/>
        <w:t xml:space="preserve">The Institute set higher growth targets for this subgroup due to the importance of catching students up to grade level standards.  Instead of looking at the average growth, the Institute requests that schools report the </w:t>
      </w:r>
      <w:r w:rsidRPr="000E2AA8">
        <w:rPr>
          <w:rFonts w:ascii="Calibri" w:eastAsia="Calibri" w:hAnsi="Calibri" w:cs="Calibri"/>
          <w:sz w:val="22"/>
          <w:szCs w:val="22"/>
          <w:u w:val="single"/>
        </w:rPr>
        <w:t>median</w:t>
      </w:r>
      <w:r w:rsidRPr="000E2AA8">
        <w:rPr>
          <w:rFonts w:ascii="Calibri" w:eastAsia="Calibri" w:hAnsi="Calibri" w:cs="Calibri"/>
          <w:sz w:val="22"/>
          <w:szCs w:val="22"/>
        </w:rPr>
        <w:t xml:space="preserve"> growth across all tested students in order to account for extreme values in the data set.</w:t>
      </w:r>
    </w:p>
    <w:p w14:paraId="107E1DB0" w14:textId="77777777" w:rsidR="000E2AA8" w:rsidRPr="000E2AA8" w:rsidRDefault="000E2AA8" w:rsidP="000E2AA8">
      <w:pPr>
        <w:spacing w:after="160" w:line="276" w:lineRule="auto"/>
        <w:ind w:left="720"/>
        <w:rPr>
          <w:rFonts w:ascii="Calibri" w:eastAsia="Calibri" w:hAnsi="Calibri" w:cs="Calibri"/>
          <w:sz w:val="22"/>
          <w:szCs w:val="22"/>
        </w:rPr>
      </w:pPr>
      <w:r w:rsidRPr="000E2AA8">
        <w:rPr>
          <w:rFonts w:ascii="Calibri" w:eastAsia="Calibri" w:hAnsi="Calibri" w:cs="Calibri"/>
          <w:b/>
          <w:bCs/>
          <w:sz w:val="22"/>
          <w:szCs w:val="22"/>
        </w:rPr>
        <w:t>NWEA MAP:</w:t>
      </w:r>
      <w:r w:rsidRPr="000E2AA8">
        <w:rPr>
          <w:rFonts w:ascii="Calibri" w:eastAsia="Calibri" w:hAnsi="Calibri" w:cs="Calibri"/>
          <w:sz w:val="22"/>
          <w:szCs w:val="22"/>
        </w:rPr>
        <w:t xml:space="preserve"> Each year, the school's median growth percentile of all </w:t>
      </w:r>
      <w:proofErr w:type="gramStart"/>
      <w:r w:rsidRPr="000E2AA8">
        <w:rPr>
          <w:rFonts w:ascii="Calibri" w:eastAsia="Calibri" w:hAnsi="Calibri" w:cs="Calibri"/>
          <w:sz w:val="22"/>
          <w:szCs w:val="22"/>
        </w:rPr>
        <w:t>3</w:t>
      </w:r>
      <w:r w:rsidRPr="000E2AA8">
        <w:rPr>
          <w:rFonts w:ascii="Calibri" w:eastAsia="Calibri" w:hAnsi="Calibri" w:cs="Calibri"/>
          <w:sz w:val="22"/>
          <w:szCs w:val="22"/>
          <w:vertAlign w:val="superscript"/>
        </w:rPr>
        <w:t>rd</w:t>
      </w:r>
      <w:proofErr w:type="gramEnd"/>
      <w:r w:rsidRPr="000E2AA8">
        <w:rPr>
          <w:rFonts w:ascii="Calibri" w:eastAsia="Calibri" w:hAnsi="Calibri" w:cs="Calibri"/>
          <w:sz w:val="22"/>
          <w:szCs w:val="22"/>
        </w:rPr>
        <w:t xml:space="preserve"> through 8</w:t>
      </w:r>
      <w:r w:rsidRPr="000E2AA8">
        <w:rPr>
          <w:rFonts w:ascii="Calibri" w:eastAsia="Calibri" w:hAnsi="Calibri" w:cs="Calibri"/>
          <w:sz w:val="22"/>
          <w:szCs w:val="22"/>
          <w:vertAlign w:val="superscript"/>
        </w:rPr>
        <w:t>th</w:t>
      </w:r>
      <w:r w:rsidRPr="000E2AA8">
        <w:rPr>
          <w:rFonts w:ascii="Calibri" w:eastAsia="Calibri" w:hAnsi="Calibri" w:cs="Calibri"/>
          <w:sz w:val="22"/>
          <w:szCs w:val="22"/>
        </w:rPr>
        <w:t> grade students whose achievement did not meet or exceed the RIT score proficiency equivalent in the fall will meet or exceed 55 in the spring administration.</w:t>
      </w:r>
    </w:p>
    <w:p w14:paraId="5145A208" w14:textId="77777777" w:rsidR="000E2AA8" w:rsidRPr="000E2AA8" w:rsidRDefault="000E2AA8" w:rsidP="000E2AA8">
      <w:pPr>
        <w:spacing w:after="160" w:line="276" w:lineRule="auto"/>
        <w:ind w:left="720"/>
        <w:rPr>
          <w:rFonts w:ascii="Calibri" w:eastAsia="Calibri" w:hAnsi="Calibri" w:cs="Calibri"/>
          <w:bCs/>
          <w:sz w:val="22"/>
          <w:szCs w:val="22"/>
        </w:rPr>
      </w:pPr>
      <w:r w:rsidRPr="000E2AA8">
        <w:rPr>
          <w:rFonts w:ascii="Calibri" w:eastAsia="Calibri" w:hAnsi="Calibri" w:cs="Calibri"/>
          <w:bCs/>
          <w:sz w:val="22"/>
          <w:szCs w:val="22"/>
        </w:rPr>
        <w:t xml:space="preserve">The RIT score proficiency equivalents are available in the most recent linking study from the test publisher found </w:t>
      </w:r>
      <w:hyperlink r:id="rId14" w:history="1">
        <w:r w:rsidRPr="000E2AA8">
          <w:rPr>
            <w:rFonts w:ascii="Calibri" w:eastAsia="Calibri" w:hAnsi="Calibri" w:cs="Calibri"/>
            <w:bCs/>
            <w:color w:val="0563C1"/>
            <w:sz w:val="22"/>
            <w:szCs w:val="22"/>
            <w:u w:val="single"/>
          </w:rPr>
          <w:t>here</w:t>
        </w:r>
      </w:hyperlink>
      <w:r w:rsidRPr="000E2AA8">
        <w:rPr>
          <w:rFonts w:ascii="Calibri" w:eastAsia="Calibri" w:hAnsi="Calibri" w:cs="Calibri"/>
          <w:bCs/>
          <w:sz w:val="22"/>
          <w:szCs w:val="22"/>
        </w:rPr>
        <w:t xml:space="preserve">.  Schools should refer to pages 15-16, tables 3.5 and 3.6.  Students whose beginning-of-year RIT score is below the corresponding grade-level equivalent for scoring Level 3 </w:t>
      </w:r>
      <w:proofErr w:type="gramStart"/>
      <w:r w:rsidRPr="000E2AA8">
        <w:rPr>
          <w:rFonts w:ascii="Calibri" w:eastAsia="Calibri" w:hAnsi="Calibri" w:cs="Calibri"/>
          <w:bCs/>
          <w:sz w:val="22"/>
          <w:szCs w:val="22"/>
        </w:rPr>
        <w:t>will be considered</w:t>
      </w:r>
      <w:proofErr w:type="gramEnd"/>
      <w:r w:rsidRPr="000E2AA8">
        <w:rPr>
          <w:rFonts w:ascii="Calibri" w:eastAsia="Calibri" w:hAnsi="Calibri" w:cs="Calibri"/>
          <w:bCs/>
          <w:sz w:val="22"/>
          <w:szCs w:val="22"/>
        </w:rPr>
        <w:t xml:space="preserve"> to have not met or exceeded the proficiency equivalent in the fall. The cut scores </w:t>
      </w:r>
      <w:r w:rsidRPr="000E2AA8">
        <w:rPr>
          <w:rFonts w:ascii="Calibri" w:eastAsia="Calibri" w:hAnsi="Calibri" w:cs="Calibri"/>
          <w:bCs/>
          <w:sz w:val="22"/>
          <w:szCs w:val="22"/>
          <w:u w:val="single"/>
        </w:rPr>
        <w:t>for the fall</w:t>
      </w:r>
      <w:r w:rsidRPr="000E2AA8">
        <w:rPr>
          <w:rFonts w:ascii="Calibri" w:eastAsia="Calibri" w:hAnsi="Calibri" w:cs="Calibri"/>
          <w:bCs/>
          <w:sz w:val="22"/>
          <w:szCs w:val="22"/>
        </w:rPr>
        <w:t xml:space="preserve"> are as follows:</w:t>
      </w:r>
    </w:p>
    <w:tbl>
      <w:tblPr>
        <w:tblW w:w="3920" w:type="dxa"/>
        <w:tblInd w:w="2971" w:type="dxa"/>
        <w:tblLook w:val="04A0" w:firstRow="1" w:lastRow="0" w:firstColumn="1" w:lastColumn="0" w:noHBand="0" w:noVBand="1"/>
      </w:tblPr>
      <w:tblGrid>
        <w:gridCol w:w="960"/>
        <w:gridCol w:w="1300"/>
        <w:gridCol w:w="1660"/>
      </w:tblGrid>
      <w:tr w:rsidR="000E2AA8" w:rsidRPr="000E2AA8" w14:paraId="1F76BFEA" w14:textId="77777777" w:rsidTr="00940E0B">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5F67A"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Grade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DADA3E7"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 xml:space="preserve">ELA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297598E1"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Mathematics</w:t>
            </w:r>
          </w:p>
        </w:tc>
      </w:tr>
      <w:tr w:rsidR="000E2AA8" w:rsidRPr="000E2AA8" w14:paraId="20DCE601" w14:textId="77777777" w:rsidTr="00940E0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AD351F"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3</w:t>
            </w:r>
          </w:p>
        </w:tc>
        <w:tc>
          <w:tcPr>
            <w:tcW w:w="1300" w:type="dxa"/>
            <w:tcBorders>
              <w:top w:val="nil"/>
              <w:left w:val="nil"/>
              <w:bottom w:val="single" w:sz="4" w:space="0" w:color="auto"/>
              <w:right w:val="single" w:sz="4" w:space="0" w:color="auto"/>
            </w:tcBorders>
            <w:shd w:val="clear" w:color="auto" w:fill="auto"/>
            <w:noWrap/>
            <w:vAlign w:val="bottom"/>
            <w:hideMark/>
          </w:tcPr>
          <w:p w14:paraId="74DBBA2E"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191</w:t>
            </w:r>
          </w:p>
        </w:tc>
        <w:tc>
          <w:tcPr>
            <w:tcW w:w="1660" w:type="dxa"/>
            <w:tcBorders>
              <w:top w:val="nil"/>
              <w:left w:val="nil"/>
              <w:bottom w:val="single" w:sz="4" w:space="0" w:color="auto"/>
              <w:right w:val="single" w:sz="4" w:space="0" w:color="auto"/>
            </w:tcBorders>
            <w:shd w:val="clear" w:color="auto" w:fill="auto"/>
            <w:noWrap/>
            <w:vAlign w:val="bottom"/>
            <w:hideMark/>
          </w:tcPr>
          <w:p w14:paraId="2C826156"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189</w:t>
            </w:r>
          </w:p>
        </w:tc>
      </w:tr>
      <w:tr w:rsidR="000E2AA8" w:rsidRPr="000E2AA8" w14:paraId="321975F4" w14:textId="77777777" w:rsidTr="00940E0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706BF6"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4</w:t>
            </w:r>
          </w:p>
        </w:tc>
        <w:tc>
          <w:tcPr>
            <w:tcW w:w="1300" w:type="dxa"/>
            <w:tcBorders>
              <w:top w:val="nil"/>
              <w:left w:val="nil"/>
              <w:bottom w:val="single" w:sz="4" w:space="0" w:color="auto"/>
              <w:right w:val="single" w:sz="4" w:space="0" w:color="auto"/>
            </w:tcBorders>
            <w:shd w:val="clear" w:color="auto" w:fill="auto"/>
            <w:noWrap/>
            <w:vAlign w:val="bottom"/>
            <w:hideMark/>
          </w:tcPr>
          <w:p w14:paraId="54EA8DAA"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201</w:t>
            </w:r>
          </w:p>
        </w:tc>
        <w:tc>
          <w:tcPr>
            <w:tcW w:w="1660" w:type="dxa"/>
            <w:tcBorders>
              <w:top w:val="nil"/>
              <w:left w:val="nil"/>
              <w:bottom w:val="single" w:sz="4" w:space="0" w:color="auto"/>
              <w:right w:val="single" w:sz="4" w:space="0" w:color="auto"/>
            </w:tcBorders>
            <w:shd w:val="clear" w:color="auto" w:fill="auto"/>
            <w:noWrap/>
            <w:vAlign w:val="bottom"/>
            <w:hideMark/>
          </w:tcPr>
          <w:p w14:paraId="45498FAB"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203</w:t>
            </w:r>
          </w:p>
        </w:tc>
      </w:tr>
      <w:tr w:rsidR="000E2AA8" w:rsidRPr="000E2AA8" w14:paraId="071231D1" w14:textId="77777777" w:rsidTr="00940E0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CEDB86"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5</w:t>
            </w:r>
          </w:p>
        </w:tc>
        <w:tc>
          <w:tcPr>
            <w:tcW w:w="1300" w:type="dxa"/>
            <w:tcBorders>
              <w:top w:val="nil"/>
              <w:left w:val="nil"/>
              <w:bottom w:val="single" w:sz="4" w:space="0" w:color="auto"/>
              <w:right w:val="single" w:sz="4" w:space="0" w:color="auto"/>
            </w:tcBorders>
            <w:shd w:val="clear" w:color="auto" w:fill="auto"/>
            <w:noWrap/>
            <w:vAlign w:val="bottom"/>
            <w:hideMark/>
          </w:tcPr>
          <w:p w14:paraId="3BC85AE7"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212</w:t>
            </w:r>
          </w:p>
        </w:tc>
        <w:tc>
          <w:tcPr>
            <w:tcW w:w="1660" w:type="dxa"/>
            <w:tcBorders>
              <w:top w:val="nil"/>
              <w:left w:val="nil"/>
              <w:bottom w:val="single" w:sz="4" w:space="0" w:color="auto"/>
              <w:right w:val="single" w:sz="4" w:space="0" w:color="auto"/>
            </w:tcBorders>
            <w:shd w:val="clear" w:color="auto" w:fill="auto"/>
            <w:noWrap/>
            <w:vAlign w:val="bottom"/>
            <w:hideMark/>
          </w:tcPr>
          <w:p w14:paraId="105424BD"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216</w:t>
            </w:r>
          </w:p>
        </w:tc>
      </w:tr>
      <w:tr w:rsidR="000E2AA8" w:rsidRPr="000E2AA8" w14:paraId="7B0992DF" w14:textId="77777777" w:rsidTr="00940E0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0DD985"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6</w:t>
            </w:r>
          </w:p>
        </w:tc>
        <w:tc>
          <w:tcPr>
            <w:tcW w:w="1300" w:type="dxa"/>
            <w:tcBorders>
              <w:top w:val="nil"/>
              <w:left w:val="nil"/>
              <w:bottom w:val="single" w:sz="4" w:space="0" w:color="auto"/>
              <w:right w:val="single" w:sz="4" w:space="0" w:color="auto"/>
            </w:tcBorders>
            <w:shd w:val="clear" w:color="auto" w:fill="auto"/>
            <w:noWrap/>
            <w:vAlign w:val="bottom"/>
            <w:hideMark/>
          </w:tcPr>
          <w:p w14:paraId="0E5E9ECF"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214</w:t>
            </w:r>
          </w:p>
        </w:tc>
        <w:tc>
          <w:tcPr>
            <w:tcW w:w="1660" w:type="dxa"/>
            <w:tcBorders>
              <w:top w:val="nil"/>
              <w:left w:val="nil"/>
              <w:bottom w:val="single" w:sz="4" w:space="0" w:color="auto"/>
              <w:right w:val="single" w:sz="4" w:space="0" w:color="auto"/>
            </w:tcBorders>
            <w:shd w:val="clear" w:color="auto" w:fill="auto"/>
            <w:noWrap/>
            <w:vAlign w:val="bottom"/>
            <w:hideMark/>
          </w:tcPr>
          <w:p w14:paraId="5EFF165B"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219</w:t>
            </w:r>
          </w:p>
        </w:tc>
      </w:tr>
      <w:tr w:rsidR="000E2AA8" w:rsidRPr="000E2AA8" w14:paraId="68DE387B" w14:textId="77777777" w:rsidTr="00940E0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5471D8"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7</w:t>
            </w:r>
          </w:p>
        </w:tc>
        <w:tc>
          <w:tcPr>
            <w:tcW w:w="1300" w:type="dxa"/>
            <w:tcBorders>
              <w:top w:val="nil"/>
              <w:left w:val="nil"/>
              <w:bottom w:val="single" w:sz="4" w:space="0" w:color="auto"/>
              <w:right w:val="single" w:sz="4" w:space="0" w:color="auto"/>
            </w:tcBorders>
            <w:shd w:val="clear" w:color="auto" w:fill="auto"/>
            <w:noWrap/>
            <w:vAlign w:val="bottom"/>
            <w:hideMark/>
          </w:tcPr>
          <w:p w14:paraId="77A0369E"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222</w:t>
            </w:r>
          </w:p>
        </w:tc>
        <w:tc>
          <w:tcPr>
            <w:tcW w:w="1660" w:type="dxa"/>
            <w:tcBorders>
              <w:top w:val="nil"/>
              <w:left w:val="nil"/>
              <w:bottom w:val="single" w:sz="4" w:space="0" w:color="auto"/>
              <w:right w:val="single" w:sz="4" w:space="0" w:color="auto"/>
            </w:tcBorders>
            <w:shd w:val="clear" w:color="auto" w:fill="auto"/>
            <w:noWrap/>
            <w:vAlign w:val="bottom"/>
            <w:hideMark/>
          </w:tcPr>
          <w:p w14:paraId="585C52B8"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227</w:t>
            </w:r>
          </w:p>
        </w:tc>
      </w:tr>
      <w:tr w:rsidR="000E2AA8" w:rsidRPr="000E2AA8" w14:paraId="5A338D6C" w14:textId="77777777" w:rsidTr="00940E0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29A625"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8</w:t>
            </w:r>
          </w:p>
        </w:tc>
        <w:tc>
          <w:tcPr>
            <w:tcW w:w="1300" w:type="dxa"/>
            <w:tcBorders>
              <w:top w:val="nil"/>
              <w:left w:val="nil"/>
              <w:bottom w:val="single" w:sz="4" w:space="0" w:color="auto"/>
              <w:right w:val="single" w:sz="4" w:space="0" w:color="auto"/>
            </w:tcBorders>
            <w:shd w:val="clear" w:color="auto" w:fill="auto"/>
            <w:noWrap/>
            <w:vAlign w:val="bottom"/>
            <w:hideMark/>
          </w:tcPr>
          <w:p w14:paraId="48D79CA7"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223</w:t>
            </w:r>
          </w:p>
        </w:tc>
        <w:tc>
          <w:tcPr>
            <w:tcW w:w="1660" w:type="dxa"/>
            <w:tcBorders>
              <w:top w:val="nil"/>
              <w:left w:val="nil"/>
              <w:bottom w:val="single" w:sz="4" w:space="0" w:color="auto"/>
              <w:right w:val="single" w:sz="4" w:space="0" w:color="auto"/>
            </w:tcBorders>
            <w:shd w:val="clear" w:color="auto" w:fill="auto"/>
            <w:noWrap/>
            <w:vAlign w:val="bottom"/>
            <w:hideMark/>
          </w:tcPr>
          <w:p w14:paraId="12A189E3" w14:textId="77777777" w:rsidR="000E2AA8" w:rsidRPr="000E2AA8" w:rsidRDefault="000E2AA8" w:rsidP="000E2AA8">
            <w:pPr>
              <w:jc w:val="center"/>
              <w:rPr>
                <w:rFonts w:ascii="Calibri" w:hAnsi="Calibri" w:cs="Calibri"/>
                <w:color w:val="000000"/>
                <w:sz w:val="22"/>
                <w:szCs w:val="22"/>
              </w:rPr>
            </w:pPr>
            <w:r w:rsidRPr="000E2AA8">
              <w:rPr>
                <w:rFonts w:ascii="Calibri" w:hAnsi="Calibri" w:cs="Calibri"/>
                <w:color w:val="000000"/>
                <w:sz w:val="22"/>
                <w:szCs w:val="22"/>
              </w:rPr>
              <w:t>236</w:t>
            </w:r>
          </w:p>
        </w:tc>
      </w:tr>
    </w:tbl>
    <w:p w14:paraId="06C55EC6" w14:textId="77777777" w:rsidR="000E2AA8" w:rsidRPr="000E2AA8" w:rsidRDefault="000E2AA8" w:rsidP="000E2AA8">
      <w:pPr>
        <w:spacing w:after="160" w:line="276" w:lineRule="auto"/>
        <w:ind w:left="720"/>
        <w:rPr>
          <w:rFonts w:ascii="Calibri" w:eastAsia="Calibri" w:hAnsi="Calibri" w:cs="Calibri"/>
          <w:bCs/>
          <w:sz w:val="22"/>
          <w:szCs w:val="22"/>
        </w:rPr>
      </w:pPr>
    </w:p>
    <w:p w14:paraId="5CD1930A" w14:textId="77777777" w:rsidR="000E2AA8" w:rsidRPr="000E2AA8" w:rsidRDefault="000E2AA8" w:rsidP="000E2AA8">
      <w:pPr>
        <w:spacing w:after="160" w:line="276" w:lineRule="auto"/>
        <w:ind w:left="720"/>
        <w:rPr>
          <w:rFonts w:ascii="Calibri" w:eastAsia="Calibri" w:hAnsi="Calibri" w:cs="Calibri"/>
          <w:sz w:val="22"/>
          <w:szCs w:val="22"/>
        </w:rPr>
      </w:pPr>
      <w:r w:rsidRPr="000E2AA8">
        <w:rPr>
          <w:rFonts w:ascii="Calibri" w:eastAsia="Calibri" w:hAnsi="Calibri" w:cs="Calibri"/>
          <w:bCs/>
          <w:sz w:val="22"/>
          <w:szCs w:val="22"/>
        </w:rPr>
        <w:t xml:space="preserve">The Institute compares the end-of-year median </w:t>
      </w:r>
      <w:r w:rsidRPr="000E2AA8">
        <w:rPr>
          <w:rFonts w:ascii="Calibri" w:eastAsia="Calibri" w:hAnsi="Calibri" w:cs="Calibri"/>
          <w:bCs/>
          <w:i/>
          <w:sz w:val="22"/>
          <w:szCs w:val="22"/>
        </w:rPr>
        <w:t>conditional growth percentile</w:t>
      </w:r>
      <w:r w:rsidRPr="000E2AA8">
        <w:rPr>
          <w:rFonts w:ascii="Calibri" w:eastAsia="Calibri" w:hAnsi="Calibri" w:cs="Calibri"/>
          <w:bCs/>
          <w:sz w:val="22"/>
          <w:szCs w:val="22"/>
        </w:rPr>
        <w:t xml:space="preserve"> of all tested </w:t>
      </w:r>
      <w:proofErr w:type="gramStart"/>
      <w:r w:rsidRPr="000E2AA8">
        <w:rPr>
          <w:rFonts w:ascii="Calibri" w:eastAsia="Calibri" w:hAnsi="Calibri" w:cs="Calibri"/>
          <w:bCs/>
          <w:sz w:val="22"/>
          <w:szCs w:val="22"/>
        </w:rPr>
        <w:t>3</w:t>
      </w:r>
      <w:r w:rsidRPr="000E2AA8">
        <w:rPr>
          <w:rFonts w:ascii="Calibri" w:eastAsia="Calibri" w:hAnsi="Calibri" w:cs="Calibri"/>
          <w:bCs/>
          <w:sz w:val="22"/>
          <w:szCs w:val="22"/>
          <w:vertAlign w:val="superscript"/>
        </w:rPr>
        <w:t>rd</w:t>
      </w:r>
      <w:proofErr w:type="gramEnd"/>
      <w:r w:rsidRPr="000E2AA8">
        <w:rPr>
          <w:rFonts w:ascii="Calibri" w:eastAsia="Calibri" w:hAnsi="Calibri" w:cs="Calibri"/>
          <w:bCs/>
          <w:sz w:val="22"/>
          <w:szCs w:val="22"/>
        </w:rPr>
        <w:t xml:space="preserve"> through 8</w:t>
      </w:r>
      <w:r w:rsidRPr="000E2AA8">
        <w:rPr>
          <w:rFonts w:ascii="Calibri" w:eastAsia="Calibri" w:hAnsi="Calibri" w:cs="Calibri"/>
          <w:bCs/>
          <w:sz w:val="22"/>
          <w:szCs w:val="22"/>
          <w:vertAlign w:val="superscript"/>
        </w:rPr>
        <w:t>th</w:t>
      </w:r>
      <w:r w:rsidRPr="000E2AA8">
        <w:rPr>
          <w:rFonts w:ascii="Calibri" w:eastAsia="Calibri" w:hAnsi="Calibri" w:cs="Calibri"/>
          <w:bCs/>
          <w:sz w:val="22"/>
          <w:szCs w:val="22"/>
        </w:rPr>
        <w:t xml:space="preserve"> grade students whose fall RIT score was below the fall grade-level cut score to the target of 55.</w:t>
      </w:r>
    </w:p>
    <w:p w14:paraId="6F02E0EA" w14:textId="77777777" w:rsidR="000E2AA8" w:rsidRPr="000E2AA8" w:rsidRDefault="000E2AA8" w:rsidP="000E2AA8">
      <w:pPr>
        <w:spacing w:after="160" w:line="276" w:lineRule="auto"/>
        <w:ind w:left="720"/>
        <w:rPr>
          <w:rFonts w:ascii="Calibri" w:eastAsia="Calibri" w:hAnsi="Calibri" w:cs="Calibri"/>
          <w:sz w:val="22"/>
          <w:szCs w:val="22"/>
        </w:rPr>
      </w:pPr>
      <w:r w:rsidRPr="000E2AA8">
        <w:rPr>
          <w:rFonts w:ascii="Calibri" w:eastAsia="Calibri" w:hAnsi="Calibri" w:cs="Calibri"/>
          <w:b/>
          <w:bCs/>
          <w:sz w:val="22"/>
          <w:szCs w:val="22"/>
        </w:rPr>
        <w:t>Curriculum Associates I-Ready:</w:t>
      </w:r>
      <w:r w:rsidRPr="000E2AA8">
        <w:rPr>
          <w:rFonts w:ascii="Calibri" w:eastAsia="Calibri" w:hAnsi="Calibri" w:cs="Calibri"/>
          <w:sz w:val="22"/>
          <w:szCs w:val="22"/>
        </w:rPr>
        <w:t xml:space="preserve"> Each year, the school’s median percent progress to Annual Typical Growth of all 3</w:t>
      </w:r>
      <w:r w:rsidRPr="000E2AA8">
        <w:rPr>
          <w:rFonts w:ascii="Calibri" w:eastAsia="Calibri" w:hAnsi="Calibri" w:cs="Calibri"/>
          <w:sz w:val="22"/>
          <w:szCs w:val="22"/>
          <w:vertAlign w:val="superscript"/>
        </w:rPr>
        <w:t>rd</w:t>
      </w:r>
      <w:r w:rsidRPr="000E2AA8">
        <w:rPr>
          <w:rFonts w:ascii="Calibri" w:eastAsia="Calibri" w:hAnsi="Calibri" w:cs="Calibri"/>
          <w:sz w:val="22"/>
          <w:szCs w:val="22"/>
        </w:rPr>
        <w:t xml:space="preserve"> through 8</w:t>
      </w:r>
      <w:r w:rsidRPr="000E2AA8">
        <w:rPr>
          <w:rFonts w:ascii="Calibri" w:eastAsia="Calibri" w:hAnsi="Calibri" w:cs="Calibri"/>
          <w:sz w:val="22"/>
          <w:szCs w:val="22"/>
          <w:vertAlign w:val="superscript"/>
        </w:rPr>
        <w:t>th</w:t>
      </w:r>
      <w:r w:rsidRPr="000E2AA8">
        <w:rPr>
          <w:rFonts w:ascii="Calibri" w:eastAsia="Calibri" w:hAnsi="Calibri" w:cs="Calibri"/>
          <w:sz w:val="22"/>
          <w:szCs w:val="22"/>
        </w:rPr>
        <w:t xml:space="preserve"> grade students who were two or more grade levels below grade level in the fall will be equal to or greater than 110%.</w:t>
      </w:r>
    </w:p>
    <w:p w14:paraId="5C7B5BA1" w14:textId="77777777" w:rsidR="000E2AA8" w:rsidRPr="000E2AA8" w:rsidRDefault="000E2AA8" w:rsidP="000E2AA8">
      <w:pPr>
        <w:spacing w:after="160" w:line="276" w:lineRule="auto"/>
        <w:ind w:left="720"/>
        <w:rPr>
          <w:rFonts w:ascii="Calibri" w:eastAsia="Calibri" w:hAnsi="Calibri" w:cs="Calibri"/>
          <w:sz w:val="22"/>
          <w:szCs w:val="22"/>
        </w:rPr>
      </w:pPr>
      <w:proofErr w:type="gramStart"/>
      <w:r w:rsidRPr="000E2AA8">
        <w:rPr>
          <w:rFonts w:ascii="Calibri" w:eastAsia="Calibri" w:hAnsi="Calibri" w:cs="Calibri"/>
          <w:sz w:val="22"/>
          <w:szCs w:val="22"/>
        </w:rPr>
        <w:t xml:space="preserve">The </w:t>
      </w:r>
      <w:proofErr w:type="spellStart"/>
      <w:r w:rsidRPr="000E2AA8">
        <w:rPr>
          <w:rFonts w:ascii="Calibri" w:eastAsia="Calibri" w:hAnsi="Calibri" w:cs="Calibri"/>
          <w:sz w:val="22"/>
          <w:szCs w:val="22"/>
        </w:rPr>
        <w:t>i</w:t>
      </w:r>
      <w:proofErr w:type="spellEnd"/>
      <w:proofErr w:type="gramEnd"/>
      <w:r w:rsidRPr="000E2AA8">
        <w:rPr>
          <w:rFonts w:ascii="Calibri" w:eastAsia="Calibri" w:hAnsi="Calibri" w:cs="Calibri"/>
          <w:sz w:val="22"/>
          <w:szCs w:val="22"/>
        </w:rPr>
        <w:t>-Ready exam produces relative placement levels for each student based on their achievement.  Possible relative placement levels include:  </w:t>
      </w:r>
    </w:p>
    <w:p w14:paraId="03771B9D" w14:textId="77777777" w:rsidR="000E2AA8" w:rsidRPr="000E2AA8" w:rsidRDefault="000E2AA8" w:rsidP="000E2AA8">
      <w:pPr>
        <w:numPr>
          <w:ilvl w:val="0"/>
          <w:numId w:val="21"/>
        </w:numPr>
        <w:spacing w:after="160" w:line="259" w:lineRule="auto"/>
        <w:ind w:left="1800" w:firstLine="0"/>
        <w:textAlignment w:val="baseline"/>
        <w:rPr>
          <w:rFonts w:ascii="Calibri" w:hAnsi="Calibri" w:cs="Calibri"/>
          <w:sz w:val="22"/>
          <w:szCs w:val="22"/>
        </w:rPr>
      </w:pPr>
      <w:r w:rsidRPr="000E2AA8">
        <w:rPr>
          <w:rFonts w:ascii="Calibri" w:hAnsi="Calibri" w:cs="Calibri"/>
          <w:sz w:val="22"/>
          <w:szCs w:val="22"/>
        </w:rPr>
        <w:t>On grade level, mid, late, or above  </w:t>
      </w:r>
    </w:p>
    <w:p w14:paraId="0B6B0DA3" w14:textId="77777777" w:rsidR="000E2AA8" w:rsidRPr="000E2AA8" w:rsidRDefault="000E2AA8" w:rsidP="000E2AA8">
      <w:pPr>
        <w:numPr>
          <w:ilvl w:val="0"/>
          <w:numId w:val="21"/>
        </w:numPr>
        <w:spacing w:after="160" w:line="259" w:lineRule="auto"/>
        <w:ind w:left="1800" w:firstLine="0"/>
        <w:textAlignment w:val="baseline"/>
        <w:rPr>
          <w:rFonts w:ascii="Calibri" w:hAnsi="Calibri" w:cs="Calibri"/>
          <w:sz w:val="22"/>
          <w:szCs w:val="22"/>
        </w:rPr>
      </w:pPr>
      <w:r w:rsidRPr="000E2AA8">
        <w:rPr>
          <w:rFonts w:ascii="Calibri" w:hAnsi="Calibri" w:cs="Calibri"/>
          <w:sz w:val="22"/>
          <w:szCs w:val="22"/>
        </w:rPr>
        <w:t>On grade level, early  </w:t>
      </w:r>
    </w:p>
    <w:p w14:paraId="24F6D127" w14:textId="77777777" w:rsidR="000E2AA8" w:rsidRPr="000E2AA8" w:rsidRDefault="000E2AA8" w:rsidP="000E2AA8">
      <w:pPr>
        <w:numPr>
          <w:ilvl w:val="0"/>
          <w:numId w:val="21"/>
        </w:numPr>
        <w:spacing w:after="160" w:line="259" w:lineRule="auto"/>
        <w:ind w:left="1800" w:firstLine="0"/>
        <w:textAlignment w:val="baseline"/>
        <w:rPr>
          <w:rFonts w:ascii="Calibri" w:hAnsi="Calibri" w:cs="Calibri"/>
          <w:sz w:val="22"/>
          <w:szCs w:val="22"/>
        </w:rPr>
      </w:pPr>
      <w:r w:rsidRPr="000E2AA8">
        <w:rPr>
          <w:rFonts w:ascii="Calibri" w:hAnsi="Calibri" w:cs="Calibri"/>
          <w:sz w:val="22"/>
          <w:szCs w:val="22"/>
        </w:rPr>
        <w:t>One grade level below  </w:t>
      </w:r>
    </w:p>
    <w:p w14:paraId="2BC27BB8" w14:textId="77777777" w:rsidR="000E2AA8" w:rsidRPr="000E2AA8" w:rsidRDefault="000E2AA8" w:rsidP="000E2AA8">
      <w:pPr>
        <w:numPr>
          <w:ilvl w:val="0"/>
          <w:numId w:val="21"/>
        </w:numPr>
        <w:spacing w:after="160" w:line="259" w:lineRule="auto"/>
        <w:ind w:left="1800" w:firstLine="0"/>
        <w:textAlignment w:val="baseline"/>
        <w:rPr>
          <w:rFonts w:ascii="Calibri" w:hAnsi="Calibri" w:cs="Calibri"/>
          <w:sz w:val="22"/>
          <w:szCs w:val="22"/>
        </w:rPr>
      </w:pPr>
      <w:r w:rsidRPr="000E2AA8">
        <w:rPr>
          <w:rFonts w:ascii="Calibri" w:hAnsi="Calibri" w:cs="Calibri"/>
          <w:sz w:val="22"/>
          <w:szCs w:val="22"/>
        </w:rPr>
        <w:t>Two grade levels below  </w:t>
      </w:r>
    </w:p>
    <w:p w14:paraId="5F10FE4F" w14:textId="77777777" w:rsidR="000E2AA8" w:rsidRPr="000E2AA8" w:rsidRDefault="000E2AA8" w:rsidP="000E2AA8">
      <w:pPr>
        <w:numPr>
          <w:ilvl w:val="0"/>
          <w:numId w:val="22"/>
        </w:numPr>
        <w:spacing w:after="160" w:line="259" w:lineRule="auto"/>
        <w:ind w:left="1800" w:firstLine="0"/>
        <w:textAlignment w:val="baseline"/>
        <w:rPr>
          <w:rFonts w:ascii="Calibri" w:hAnsi="Calibri" w:cs="Calibri"/>
          <w:sz w:val="22"/>
          <w:szCs w:val="22"/>
        </w:rPr>
      </w:pPr>
      <w:r w:rsidRPr="000E2AA8">
        <w:rPr>
          <w:rFonts w:ascii="Calibri" w:hAnsi="Calibri" w:cs="Calibri"/>
          <w:sz w:val="22"/>
          <w:szCs w:val="22"/>
        </w:rPr>
        <w:t>Three or more grade levels below </w:t>
      </w:r>
    </w:p>
    <w:p w14:paraId="29F90CF2" w14:textId="77777777" w:rsidR="000E2AA8" w:rsidRPr="000E2AA8" w:rsidRDefault="000E2AA8" w:rsidP="000E2AA8">
      <w:pPr>
        <w:ind w:left="720"/>
        <w:textAlignment w:val="baseline"/>
        <w:rPr>
          <w:rFonts w:ascii="Calibri" w:hAnsi="Calibri" w:cs="Calibri"/>
          <w:sz w:val="22"/>
          <w:szCs w:val="22"/>
        </w:rPr>
      </w:pPr>
    </w:p>
    <w:p w14:paraId="52725723" w14:textId="77777777" w:rsidR="000E2AA8" w:rsidRPr="000E2AA8" w:rsidRDefault="000E2AA8" w:rsidP="000E2AA8">
      <w:pPr>
        <w:ind w:left="720"/>
        <w:textAlignment w:val="baseline"/>
        <w:rPr>
          <w:rFonts w:ascii="Calibri" w:hAnsi="Calibri" w:cs="Calibri"/>
          <w:sz w:val="22"/>
          <w:szCs w:val="22"/>
        </w:rPr>
      </w:pPr>
      <w:r w:rsidRPr="000E2AA8">
        <w:rPr>
          <w:rFonts w:ascii="Calibri" w:hAnsi="Calibri" w:cs="Calibri"/>
          <w:sz w:val="22"/>
          <w:szCs w:val="22"/>
        </w:rPr>
        <w:lastRenderedPageBreak/>
        <w:t xml:space="preserve">The Institute compares the end-of-year median </w:t>
      </w:r>
      <w:r w:rsidRPr="000E2AA8">
        <w:rPr>
          <w:rFonts w:ascii="Calibri" w:hAnsi="Calibri" w:cs="Calibri"/>
          <w:i/>
          <w:sz w:val="22"/>
          <w:szCs w:val="22"/>
        </w:rPr>
        <w:t>percent progress to annual typical growth</w:t>
      </w:r>
      <w:r w:rsidRPr="000E2AA8">
        <w:rPr>
          <w:rFonts w:ascii="Calibri" w:hAnsi="Calibri" w:cs="Calibri"/>
          <w:sz w:val="22"/>
          <w:szCs w:val="22"/>
        </w:rPr>
        <w:t xml:space="preserve"> of all tested 3</w:t>
      </w:r>
      <w:r w:rsidRPr="000E2AA8">
        <w:rPr>
          <w:rFonts w:ascii="Calibri" w:hAnsi="Calibri" w:cs="Calibri"/>
          <w:sz w:val="22"/>
          <w:szCs w:val="22"/>
          <w:vertAlign w:val="superscript"/>
        </w:rPr>
        <w:t>rd</w:t>
      </w:r>
      <w:r w:rsidRPr="000E2AA8">
        <w:rPr>
          <w:rFonts w:ascii="Calibri" w:hAnsi="Calibri" w:cs="Calibri"/>
          <w:sz w:val="22"/>
          <w:szCs w:val="22"/>
        </w:rPr>
        <w:t xml:space="preserve"> through 8</w:t>
      </w:r>
      <w:r w:rsidRPr="000E2AA8">
        <w:rPr>
          <w:rFonts w:ascii="Calibri" w:hAnsi="Calibri" w:cs="Calibri"/>
          <w:sz w:val="22"/>
          <w:szCs w:val="22"/>
          <w:vertAlign w:val="superscript"/>
        </w:rPr>
        <w:t>th</w:t>
      </w:r>
      <w:r w:rsidRPr="000E2AA8">
        <w:rPr>
          <w:rFonts w:ascii="Calibri" w:hAnsi="Calibri" w:cs="Calibri"/>
          <w:sz w:val="22"/>
          <w:szCs w:val="22"/>
        </w:rPr>
        <w:t xml:space="preserve"> grade students whose </w:t>
      </w:r>
      <w:r w:rsidRPr="000E2AA8">
        <w:rPr>
          <w:rFonts w:ascii="Calibri" w:hAnsi="Calibri" w:cs="Calibri"/>
          <w:i/>
          <w:sz w:val="22"/>
          <w:szCs w:val="22"/>
          <w:u w:val="single"/>
        </w:rPr>
        <w:t>initial</w:t>
      </w:r>
      <w:r w:rsidRPr="000E2AA8">
        <w:rPr>
          <w:rFonts w:ascii="Calibri" w:hAnsi="Calibri" w:cs="Calibri"/>
          <w:i/>
          <w:sz w:val="22"/>
          <w:szCs w:val="22"/>
        </w:rPr>
        <w:t xml:space="preserve"> relative placement</w:t>
      </w:r>
      <w:r w:rsidRPr="000E2AA8">
        <w:rPr>
          <w:rFonts w:ascii="Calibri" w:hAnsi="Calibri" w:cs="Calibri"/>
          <w:sz w:val="22"/>
          <w:szCs w:val="22"/>
        </w:rPr>
        <w:t xml:space="preserve"> from the fall was “two grade levels below” or “three or more grade levels below” to the target of 110%.</w:t>
      </w:r>
    </w:p>
    <w:p w14:paraId="0785AE8A" w14:textId="77777777" w:rsidR="000E2AA8" w:rsidRPr="000E2AA8" w:rsidRDefault="000E2AA8" w:rsidP="000E2AA8">
      <w:pPr>
        <w:ind w:left="720"/>
        <w:textAlignment w:val="baseline"/>
        <w:rPr>
          <w:rFonts w:ascii="Calibri" w:eastAsia="Calibri" w:hAnsi="Calibri" w:cs="Calibri"/>
          <w:szCs w:val="24"/>
          <w:highlight w:val="green"/>
        </w:rPr>
      </w:pPr>
    </w:p>
    <w:p w14:paraId="2E8588ED" w14:textId="77777777" w:rsidR="000E2AA8" w:rsidRPr="000E2AA8" w:rsidRDefault="000E2AA8" w:rsidP="000E2AA8">
      <w:pPr>
        <w:spacing w:after="160" w:line="276" w:lineRule="auto"/>
        <w:rPr>
          <w:rFonts w:ascii="Calibri" w:eastAsia="Calibri" w:hAnsi="Calibri" w:cs="Calibri"/>
          <w:b/>
          <w:bCs/>
          <w:sz w:val="22"/>
          <w:szCs w:val="22"/>
        </w:rPr>
      </w:pPr>
      <w:r w:rsidRPr="000E2AA8">
        <w:rPr>
          <w:rFonts w:ascii="Calibri" w:eastAsia="Calibri" w:hAnsi="Calibri" w:cs="Calibri"/>
          <w:b/>
          <w:bCs/>
          <w:sz w:val="22"/>
          <w:szCs w:val="22"/>
        </w:rPr>
        <w:t xml:space="preserve">Gap </w:t>
      </w:r>
      <w:proofErr w:type="gramStart"/>
      <w:r w:rsidRPr="000E2AA8">
        <w:rPr>
          <w:rFonts w:ascii="Calibri" w:eastAsia="Calibri" w:hAnsi="Calibri" w:cs="Calibri"/>
          <w:b/>
          <w:bCs/>
          <w:sz w:val="22"/>
          <w:szCs w:val="22"/>
        </w:rPr>
        <w:t>Closing</w:t>
      </w:r>
      <w:proofErr w:type="gramEnd"/>
      <w:r w:rsidRPr="000E2AA8">
        <w:rPr>
          <w:rFonts w:ascii="Calibri" w:eastAsia="Calibri" w:hAnsi="Calibri" w:cs="Calibri"/>
          <w:b/>
          <w:bCs/>
          <w:sz w:val="22"/>
          <w:szCs w:val="22"/>
        </w:rPr>
        <w:t xml:space="preserve"> measure 2: Each year, the median growth of students with disabilities, English language learners, and/or other disadvantaged student groups is greater than the median growth of the school’s general education students.</w:t>
      </w:r>
    </w:p>
    <w:p w14:paraId="53E2A6B1" w14:textId="0502C3CF" w:rsidR="000E2AA8" w:rsidRPr="000E2AA8" w:rsidRDefault="000E2AA8" w:rsidP="000E2AA8">
      <w:pPr>
        <w:spacing w:after="160" w:line="276" w:lineRule="auto"/>
        <w:rPr>
          <w:rFonts w:ascii="Calibri" w:eastAsia="Calibri" w:hAnsi="Calibri" w:cs="Calibri"/>
          <w:color w:val="000000"/>
          <w:sz w:val="22"/>
          <w:szCs w:val="22"/>
        </w:rPr>
      </w:pPr>
      <w:r w:rsidRPr="000E2AA8">
        <w:rPr>
          <w:rFonts w:ascii="Calibri" w:eastAsia="Calibri" w:hAnsi="Calibri" w:cs="Calibri"/>
          <w:sz w:val="22"/>
          <w:szCs w:val="22"/>
        </w:rPr>
        <w:t>Schools should demonstrate that students with disabilities grew at or above the rate of the general education students at the school.  Schools may elect to report the aggregated data for a different subpopulation of students if the total tested number of</w:t>
      </w:r>
      <w:r w:rsidR="00131C5A">
        <w:rPr>
          <w:rFonts w:ascii="Calibri" w:eastAsia="Calibri" w:hAnsi="Calibri" w:cs="Calibri"/>
          <w:sz w:val="22"/>
          <w:szCs w:val="22"/>
        </w:rPr>
        <w:t xml:space="preserve"> students with disabilities is five</w:t>
      </w:r>
      <w:r w:rsidRPr="000E2AA8">
        <w:rPr>
          <w:rFonts w:ascii="Calibri" w:eastAsia="Calibri" w:hAnsi="Calibri" w:cs="Calibri"/>
          <w:sz w:val="22"/>
          <w:szCs w:val="22"/>
        </w:rPr>
        <w:t xml:space="preserve"> or fewer, or if the school’s mission aligns to serving a different specific subpopulation.  For schools that choose a different subpopulation (e.g. English language learners, students experiencing housing insecurity, etc.), justify the decision in the narrative section of the APPR template.  The target should reflect the median growth percentile for all general education students.  In the case that the school elects to measure the achievement of a different subpopulation, the target should reflect the median growth percentile of all students at the school not included in that subpopulation.  Instead of looking at the average growth, the Institute requests that schools report the </w:t>
      </w:r>
      <w:r w:rsidRPr="000E2AA8">
        <w:rPr>
          <w:rFonts w:ascii="Calibri" w:eastAsia="Calibri" w:hAnsi="Calibri" w:cs="Calibri"/>
          <w:sz w:val="22"/>
          <w:szCs w:val="22"/>
          <w:u w:val="single"/>
        </w:rPr>
        <w:t>median</w:t>
      </w:r>
      <w:r w:rsidRPr="000E2AA8">
        <w:rPr>
          <w:rFonts w:ascii="Calibri" w:eastAsia="Calibri" w:hAnsi="Calibri" w:cs="Calibri"/>
          <w:sz w:val="22"/>
          <w:szCs w:val="22"/>
        </w:rPr>
        <w:t xml:space="preserve"> growth across all tested students in order to account for extreme values in the data set.  </w:t>
      </w:r>
    </w:p>
    <w:p w14:paraId="3921AFCA" w14:textId="4733B2C9" w:rsidR="000E2AA8" w:rsidRPr="000E2AA8" w:rsidRDefault="000E2AA8" w:rsidP="000E2AA8">
      <w:pPr>
        <w:spacing w:after="160" w:line="276" w:lineRule="auto"/>
        <w:ind w:left="720"/>
        <w:rPr>
          <w:rFonts w:ascii="Calibri" w:eastAsia="Calibri" w:hAnsi="Calibri" w:cs="Calibri"/>
          <w:sz w:val="22"/>
          <w:szCs w:val="22"/>
        </w:rPr>
      </w:pPr>
      <w:r w:rsidRPr="000E2AA8">
        <w:rPr>
          <w:rFonts w:ascii="Calibri" w:eastAsia="Calibri" w:hAnsi="Calibri" w:cs="Calibri"/>
          <w:b/>
          <w:bCs/>
          <w:sz w:val="22"/>
          <w:szCs w:val="22"/>
        </w:rPr>
        <w:t>NWEA MAP:</w:t>
      </w:r>
      <w:r w:rsidRPr="000E2AA8">
        <w:rPr>
          <w:rFonts w:ascii="Calibri" w:eastAsia="Calibri" w:hAnsi="Calibri" w:cs="Calibri"/>
          <w:sz w:val="22"/>
          <w:szCs w:val="22"/>
        </w:rPr>
        <w:t xml:space="preserve"> Each year, the median growth percentile of </w:t>
      </w:r>
      <w:proofErr w:type="gramStart"/>
      <w:r w:rsidRPr="000E2AA8">
        <w:rPr>
          <w:rFonts w:ascii="Calibri" w:eastAsia="Calibri" w:hAnsi="Calibri" w:cs="Calibri"/>
          <w:sz w:val="22"/>
          <w:szCs w:val="22"/>
        </w:rPr>
        <w:t>3</w:t>
      </w:r>
      <w:r w:rsidRPr="000E2AA8">
        <w:rPr>
          <w:rFonts w:ascii="Calibri" w:eastAsia="Calibri" w:hAnsi="Calibri" w:cs="Calibri"/>
          <w:sz w:val="22"/>
          <w:szCs w:val="22"/>
          <w:vertAlign w:val="superscript"/>
        </w:rPr>
        <w:t>rd</w:t>
      </w:r>
      <w:proofErr w:type="gramEnd"/>
      <w:r w:rsidRPr="000E2AA8">
        <w:rPr>
          <w:rFonts w:ascii="Calibri" w:eastAsia="Calibri" w:hAnsi="Calibri" w:cs="Calibri"/>
          <w:sz w:val="22"/>
          <w:szCs w:val="22"/>
        </w:rPr>
        <w:t xml:space="preserve"> through 8</w:t>
      </w:r>
      <w:r w:rsidRPr="000E2AA8">
        <w:rPr>
          <w:rFonts w:ascii="Calibri" w:eastAsia="Calibri" w:hAnsi="Calibri" w:cs="Calibri"/>
          <w:sz w:val="22"/>
          <w:szCs w:val="22"/>
          <w:vertAlign w:val="superscript"/>
        </w:rPr>
        <w:t>th</w:t>
      </w:r>
      <w:r w:rsidRPr="000E2AA8">
        <w:rPr>
          <w:rFonts w:ascii="Calibri" w:eastAsia="Calibri" w:hAnsi="Calibri" w:cs="Calibri"/>
          <w:sz w:val="22"/>
          <w:szCs w:val="22"/>
        </w:rPr>
        <w:t xml:space="preserve"> grade students with disabilities at the school will be equal to or great</w:t>
      </w:r>
      <w:r w:rsidR="00131C5A">
        <w:rPr>
          <w:rFonts w:ascii="Calibri" w:eastAsia="Calibri" w:hAnsi="Calibri" w:cs="Calibri"/>
          <w:sz w:val="22"/>
          <w:szCs w:val="22"/>
        </w:rPr>
        <w:t>er than the median growth of 3</w:t>
      </w:r>
      <w:r w:rsidR="00131C5A" w:rsidRPr="00131C5A">
        <w:rPr>
          <w:rFonts w:ascii="Calibri" w:eastAsia="Calibri" w:hAnsi="Calibri" w:cs="Calibri"/>
          <w:sz w:val="22"/>
          <w:szCs w:val="22"/>
          <w:vertAlign w:val="superscript"/>
        </w:rPr>
        <w:t>rd</w:t>
      </w:r>
      <w:r w:rsidR="00131C5A">
        <w:rPr>
          <w:rFonts w:ascii="Calibri" w:eastAsia="Calibri" w:hAnsi="Calibri" w:cs="Calibri"/>
          <w:sz w:val="22"/>
          <w:szCs w:val="22"/>
        </w:rPr>
        <w:t> through 8</w:t>
      </w:r>
      <w:r w:rsidR="00131C5A" w:rsidRPr="00131C5A">
        <w:rPr>
          <w:rFonts w:ascii="Calibri" w:eastAsia="Calibri" w:hAnsi="Calibri" w:cs="Calibri"/>
          <w:sz w:val="22"/>
          <w:szCs w:val="22"/>
          <w:vertAlign w:val="superscript"/>
        </w:rPr>
        <w:t>th</w:t>
      </w:r>
      <w:r w:rsidRPr="000E2AA8">
        <w:rPr>
          <w:rFonts w:ascii="Calibri" w:eastAsia="Calibri" w:hAnsi="Calibri" w:cs="Calibri"/>
          <w:sz w:val="22"/>
          <w:szCs w:val="22"/>
        </w:rPr>
        <w:t> grade general education students at the school. </w:t>
      </w:r>
    </w:p>
    <w:p w14:paraId="5C61A9E7" w14:textId="77777777" w:rsidR="000E2AA8" w:rsidRPr="000E2AA8" w:rsidRDefault="000E2AA8" w:rsidP="000E2AA8">
      <w:pPr>
        <w:spacing w:after="160" w:line="276" w:lineRule="auto"/>
        <w:ind w:left="720"/>
        <w:rPr>
          <w:rFonts w:ascii="Calibri" w:eastAsia="Calibri" w:hAnsi="Calibri" w:cs="Calibri"/>
          <w:sz w:val="22"/>
          <w:szCs w:val="22"/>
        </w:rPr>
      </w:pPr>
      <w:r w:rsidRPr="000E2AA8">
        <w:rPr>
          <w:rFonts w:ascii="Calibri" w:eastAsia="Calibri" w:hAnsi="Calibri" w:cs="Calibri"/>
          <w:bCs/>
          <w:sz w:val="22"/>
          <w:szCs w:val="22"/>
        </w:rPr>
        <w:t xml:space="preserve">The Institute compares the median </w:t>
      </w:r>
      <w:r w:rsidRPr="000E2AA8">
        <w:rPr>
          <w:rFonts w:ascii="Calibri" w:eastAsia="Calibri" w:hAnsi="Calibri" w:cs="Calibri"/>
          <w:bCs/>
          <w:i/>
          <w:sz w:val="22"/>
          <w:szCs w:val="22"/>
        </w:rPr>
        <w:t>conditional growth percentile</w:t>
      </w:r>
      <w:r w:rsidRPr="000E2AA8">
        <w:rPr>
          <w:rFonts w:ascii="Calibri" w:eastAsia="Calibri" w:hAnsi="Calibri" w:cs="Calibri"/>
          <w:bCs/>
          <w:sz w:val="22"/>
          <w:szCs w:val="22"/>
        </w:rPr>
        <w:t xml:space="preserve"> of all tested </w:t>
      </w:r>
      <w:proofErr w:type="gramStart"/>
      <w:r w:rsidRPr="000E2AA8">
        <w:rPr>
          <w:rFonts w:ascii="Calibri" w:eastAsia="Calibri" w:hAnsi="Calibri" w:cs="Calibri"/>
          <w:bCs/>
          <w:sz w:val="22"/>
          <w:szCs w:val="22"/>
        </w:rPr>
        <w:t>3</w:t>
      </w:r>
      <w:r w:rsidRPr="000E2AA8">
        <w:rPr>
          <w:rFonts w:ascii="Calibri" w:eastAsia="Calibri" w:hAnsi="Calibri" w:cs="Calibri"/>
          <w:bCs/>
          <w:sz w:val="22"/>
          <w:szCs w:val="22"/>
          <w:vertAlign w:val="superscript"/>
        </w:rPr>
        <w:t>rd</w:t>
      </w:r>
      <w:proofErr w:type="gramEnd"/>
      <w:r w:rsidRPr="000E2AA8">
        <w:rPr>
          <w:rFonts w:ascii="Calibri" w:eastAsia="Calibri" w:hAnsi="Calibri" w:cs="Calibri"/>
          <w:bCs/>
          <w:sz w:val="22"/>
          <w:szCs w:val="22"/>
        </w:rPr>
        <w:t xml:space="preserve"> through 8</w:t>
      </w:r>
      <w:r w:rsidRPr="000E2AA8">
        <w:rPr>
          <w:rFonts w:ascii="Calibri" w:eastAsia="Calibri" w:hAnsi="Calibri" w:cs="Calibri"/>
          <w:bCs/>
          <w:sz w:val="22"/>
          <w:szCs w:val="22"/>
          <w:vertAlign w:val="superscript"/>
        </w:rPr>
        <w:t>th</w:t>
      </w:r>
      <w:r w:rsidRPr="000E2AA8">
        <w:rPr>
          <w:rFonts w:ascii="Calibri" w:eastAsia="Calibri" w:hAnsi="Calibri" w:cs="Calibri"/>
          <w:bCs/>
          <w:sz w:val="22"/>
          <w:szCs w:val="22"/>
        </w:rPr>
        <w:t xml:space="preserve"> grade students with disabilities to the median </w:t>
      </w:r>
      <w:r w:rsidRPr="000E2AA8">
        <w:rPr>
          <w:rFonts w:ascii="Calibri" w:eastAsia="Calibri" w:hAnsi="Calibri" w:cs="Calibri"/>
          <w:bCs/>
          <w:i/>
          <w:sz w:val="22"/>
          <w:szCs w:val="22"/>
        </w:rPr>
        <w:t>conditional growth percentile</w:t>
      </w:r>
      <w:r w:rsidRPr="000E2AA8">
        <w:rPr>
          <w:rFonts w:ascii="Calibri" w:eastAsia="Calibri" w:hAnsi="Calibri" w:cs="Calibri"/>
          <w:bCs/>
          <w:sz w:val="22"/>
          <w:szCs w:val="22"/>
        </w:rPr>
        <w:t xml:space="preserve"> of all tested 3</w:t>
      </w:r>
      <w:r w:rsidRPr="000E2AA8">
        <w:rPr>
          <w:rFonts w:ascii="Calibri" w:eastAsia="Calibri" w:hAnsi="Calibri" w:cs="Calibri"/>
          <w:bCs/>
          <w:sz w:val="22"/>
          <w:szCs w:val="22"/>
          <w:vertAlign w:val="superscript"/>
        </w:rPr>
        <w:t>rd</w:t>
      </w:r>
      <w:r w:rsidRPr="000E2AA8">
        <w:rPr>
          <w:rFonts w:ascii="Calibri" w:eastAsia="Calibri" w:hAnsi="Calibri" w:cs="Calibri"/>
          <w:bCs/>
          <w:sz w:val="22"/>
          <w:szCs w:val="22"/>
        </w:rPr>
        <w:t xml:space="preserve"> through 8</w:t>
      </w:r>
      <w:r w:rsidRPr="000E2AA8">
        <w:rPr>
          <w:rFonts w:ascii="Calibri" w:eastAsia="Calibri" w:hAnsi="Calibri" w:cs="Calibri"/>
          <w:bCs/>
          <w:sz w:val="22"/>
          <w:szCs w:val="22"/>
          <w:vertAlign w:val="superscript"/>
        </w:rPr>
        <w:t>th</w:t>
      </w:r>
      <w:r w:rsidRPr="000E2AA8">
        <w:rPr>
          <w:rFonts w:ascii="Calibri" w:eastAsia="Calibri" w:hAnsi="Calibri" w:cs="Calibri"/>
          <w:bCs/>
          <w:sz w:val="22"/>
          <w:szCs w:val="22"/>
        </w:rPr>
        <w:t xml:space="preserve"> grade general education students on the end-of-year administration.</w:t>
      </w:r>
    </w:p>
    <w:p w14:paraId="29BFF4BC" w14:textId="77777777" w:rsidR="000E2AA8" w:rsidRPr="000E2AA8" w:rsidRDefault="000E2AA8" w:rsidP="000E2AA8">
      <w:pPr>
        <w:spacing w:after="160" w:line="276" w:lineRule="auto"/>
        <w:ind w:left="720"/>
        <w:rPr>
          <w:rFonts w:ascii="Calibri" w:eastAsia="Calibri" w:hAnsi="Calibri" w:cs="Calibri"/>
          <w:sz w:val="22"/>
          <w:szCs w:val="22"/>
        </w:rPr>
      </w:pPr>
      <w:r w:rsidRPr="000E2AA8">
        <w:rPr>
          <w:rFonts w:ascii="Calibri" w:eastAsia="Calibri" w:hAnsi="Calibri" w:cs="Calibri"/>
          <w:b/>
          <w:bCs/>
          <w:sz w:val="22"/>
          <w:szCs w:val="22"/>
        </w:rPr>
        <w:t>Curriculum Associates I-Ready:</w:t>
      </w:r>
      <w:r w:rsidRPr="000E2AA8">
        <w:rPr>
          <w:rFonts w:ascii="Calibri" w:eastAsia="Calibri" w:hAnsi="Calibri" w:cs="Calibri"/>
          <w:sz w:val="22"/>
          <w:szCs w:val="22"/>
        </w:rPr>
        <w:t xml:space="preserve"> Each year, the median percent progress to Annual Typical Growth of 3</w:t>
      </w:r>
      <w:r w:rsidRPr="000E2AA8">
        <w:rPr>
          <w:rFonts w:ascii="Calibri" w:eastAsia="Calibri" w:hAnsi="Calibri" w:cs="Calibri"/>
          <w:sz w:val="22"/>
          <w:szCs w:val="22"/>
          <w:vertAlign w:val="superscript"/>
        </w:rPr>
        <w:t>rd</w:t>
      </w:r>
      <w:r w:rsidRPr="000E2AA8">
        <w:rPr>
          <w:rFonts w:ascii="Calibri" w:eastAsia="Calibri" w:hAnsi="Calibri" w:cs="Calibri"/>
          <w:sz w:val="22"/>
          <w:szCs w:val="22"/>
        </w:rPr>
        <w:t xml:space="preserve"> through 8</w:t>
      </w:r>
      <w:r w:rsidRPr="000E2AA8">
        <w:rPr>
          <w:rFonts w:ascii="Calibri" w:eastAsia="Calibri" w:hAnsi="Calibri" w:cs="Calibri"/>
          <w:sz w:val="22"/>
          <w:szCs w:val="22"/>
          <w:vertAlign w:val="superscript"/>
        </w:rPr>
        <w:t>th</w:t>
      </w:r>
      <w:r w:rsidRPr="000E2AA8">
        <w:rPr>
          <w:rFonts w:ascii="Calibri" w:eastAsia="Calibri" w:hAnsi="Calibri" w:cs="Calibri"/>
          <w:sz w:val="22"/>
          <w:szCs w:val="22"/>
        </w:rPr>
        <w:t xml:space="preserve"> grade students with disabilities at the school will be equal to or greater than the median percent progress to Annual Typical Growth of 3</w:t>
      </w:r>
      <w:r w:rsidRPr="000E2AA8">
        <w:rPr>
          <w:rFonts w:ascii="Calibri" w:eastAsia="Calibri" w:hAnsi="Calibri" w:cs="Calibri"/>
          <w:sz w:val="22"/>
          <w:szCs w:val="22"/>
          <w:vertAlign w:val="superscript"/>
        </w:rPr>
        <w:t>rd</w:t>
      </w:r>
      <w:r w:rsidRPr="000E2AA8">
        <w:rPr>
          <w:rFonts w:ascii="Calibri" w:eastAsia="Calibri" w:hAnsi="Calibri" w:cs="Calibri"/>
          <w:sz w:val="22"/>
          <w:szCs w:val="22"/>
        </w:rPr>
        <w:t xml:space="preserve"> through 8</w:t>
      </w:r>
      <w:r w:rsidRPr="000E2AA8">
        <w:rPr>
          <w:rFonts w:ascii="Calibri" w:eastAsia="Calibri" w:hAnsi="Calibri" w:cs="Calibri"/>
          <w:sz w:val="22"/>
          <w:szCs w:val="22"/>
          <w:vertAlign w:val="superscript"/>
        </w:rPr>
        <w:t>th</w:t>
      </w:r>
      <w:r w:rsidRPr="000E2AA8">
        <w:rPr>
          <w:rFonts w:ascii="Calibri" w:eastAsia="Calibri" w:hAnsi="Calibri" w:cs="Calibri"/>
          <w:sz w:val="22"/>
          <w:szCs w:val="22"/>
        </w:rPr>
        <w:t xml:space="preserve"> grade general education students at the school.  </w:t>
      </w:r>
    </w:p>
    <w:p w14:paraId="441CA6C4" w14:textId="77777777" w:rsidR="000E2AA8" w:rsidRPr="000E2AA8" w:rsidRDefault="000E2AA8" w:rsidP="000E2AA8">
      <w:pPr>
        <w:spacing w:after="160" w:line="276" w:lineRule="auto"/>
        <w:ind w:left="720"/>
        <w:rPr>
          <w:rFonts w:ascii="Calibri" w:eastAsia="Calibri" w:hAnsi="Calibri" w:cs="Calibri"/>
          <w:sz w:val="22"/>
          <w:szCs w:val="22"/>
        </w:rPr>
      </w:pPr>
      <w:r w:rsidRPr="000E2AA8">
        <w:rPr>
          <w:rFonts w:ascii="Calibri" w:eastAsia="Calibri" w:hAnsi="Calibri" w:cs="Calibri"/>
          <w:bCs/>
          <w:sz w:val="22"/>
          <w:szCs w:val="22"/>
        </w:rPr>
        <w:t xml:space="preserve">The Institute compares the median </w:t>
      </w:r>
      <w:r w:rsidRPr="000E2AA8">
        <w:rPr>
          <w:rFonts w:ascii="Calibri" w:eastAsia="Calibri" w:hAnsi="Calibri" w:cs="Calibri"/>
          <w:bCs/>
          <w:i/>
          <w:sz w:val="22"/>
          <w:szCs w:val="22"/>
        </w:rPr>
        <w:t xml:space="preserve">percent progress to annual typical growth </w:t>
      </w:r>
      <w:r w:rsidRPr="000E2AA8">
        <w:rPr>
          <w:rFonts w:ascii="Calibri" w:eastAsia="Calibri" w:hAnsi="Calibri" w:cs="Calibri"/>
          <w:bCs/>
          <w:sz w:val="22"/>
          <w:szCs w:val="22"/>
        </w:rPr>
        <w:t xml:space="preserve">of all tested </w:t>
      </w:r>
      <w:proofErr w:type="gramStart"/>
      <w:r w:rsidRPr="000E2AA8">
        <w:rPr>
          <w:rFonts w:ascii="Calibri" w:eastAsia="Calibri" w:hAnsi="Calibri" w:cs="Calibri"/>
          <w:bCs/>
          <w:sz w:val="22"/>
          <w:szCs w:val="22"/>
        </w:rPr>
        <w:t>3</w:t>
      </w:r>
      <w:r w:rsidRPr="000E2AA8">
        <w:rPr>
          <w:rFonts w:ascii="Calibri" w:eastAsia="Calibri" w:hAnsi="Calibri" w:cs="Calibri"/>
          <w:bCs/>
          <w:sz w:val="22"/>
          <w:szCs w:val="22"/>
          <w:vertAlign w:val="superscript"/>
        </w:rPr>
        <w:t>rd</w:t>
      </w:r>
      <w:proofErr w:type="gramEnd"/>
      <w:r w:rsidRPr="000E2AA8">
        <w:rPr>
          <w:rFonts w:ascii="Calibri" w:eastAsia="Calibri" w:hAnsi="Calibri" w:cs="Calibri"/>
          <w:bCs/>
          <w:sz w:val="22"/>
          <w:szCs w:val="22"/>
        </w:rPr>
        <w:t xml:space="preserve"> through 8</w:t>
      </w:r>
      <w:r w:rsidRPr="000E2AA8">
        <w:rPr>
          <w:rFonts w:ascii="Calibri" w:eastAsia="Calibri" w:hAnsi="Calibri" w:cs="Calibri"/>
          <w:bCs/>
          <w:sz w:val="22"/>
          <w:szCs w:val="22"/>
          <w:vertAlign w:val="superscript"/>
        </w:rPr>
        <w:t>th</w:t>
      </w:r>
      <w:r w:rsidRPr="000E2AA8">
        <w:rPr>
          <w:rFonts w:ascii="Calibri" w:eastAsia="Calibri" w:hAnsi="Calibri" w:cs="Calibri"/>
          <w:bCs/>
          <w:sz w:val="22"/>
          <w:szCs w:val="22"/>
        </w:rPr>
        <w:t xml:space="preserve"> grade students with disabilities to the median </w:t>
      </w:r>
      <w:r w:rsidRPr="000E2AA8">
        <w:rPr>
          <w:rFonts w:ascii="Calibri" w:eastAsia="Calibri" w:hAnsi="Calibri" w:cs="Calibri"/>
          <w:bCs/>
          <w:i/>
          <w:sz w:val="22"/>
          <w:szCs w:val="22"/>
        </w:rPr>
        <w:t xml:space="preserve">percent progress to annual typical growth </w:t>
      </w:r>
      <w:r w:rsidRPr="000E2AA8">
        <w:rPr>
          <w:rFonts w:ascii="Calibri" w:eastAsia="Calibri" w:hAnsi="Calibri" w:cs="Calibri"/>
          <w:bCs/>
          <w:sz w:val="22"/>
          <w:szCs w:val="22"/>
        </w:rPr>
        <w:t>of all tested 3</w:t>
      </w:r>
      <w:r w:rsidRPr="000E2AA8">
        <w:rPr>
          <w:rFonts w:ascii="Calibri" w:eastAsia="Calibri" w:hAnsi="Calibri" w:cs="Calibri"/>
          <w:bCs/>
          <w:sz w:val="22"/>
          <w:szCs w:val="22"/>
          <w:vertAlign w:val="superscript"/>
        </w:rPr>
        <w:t>rd</w:t>
      </w:r>
      <w:r w:rsidRPr="000E2AA8">
        <w:rPr>
          <w:rFonts w:ascii="Calibri" w:eastAsia="Calibri" w:hAnsi="Calibri" w:cs="Calibri"/>
          <w:bCs/>
          <w:sz w:val="22"/>
          <w:szCs w:val="22"/>
        </w:rPr>
        <w:t xml:space="preserve"> through 8</w:t>
      </w:r>
      <w:r w:rsidRPr="000E2AA8">
        <w:rPr>
          <w:rFonts w:ascii="Calibri" w:eastAsia="Calibri" w:hAnsi="Calibri" w:cs="Calibri"/>
          <w:bCs/>
          <w:sz w:val="22"/>
          <w:szCs w:val="22"/>
          <w:vertAlign w:val="superscript"/>
        </w:rPr>
        <w:t>th</w:t>
      </w:r>
      <w:r w:rsidRPr="000E2AA8">
        <w:rPr>
          <w:rFonts w:ascii="Calibri" w:eastAsia="Calibri" w:hAnsi="Calibri" w:cs="Calibri"/>
          <w:bCs/>
          <w:sz w:val="22"/>
          <w:szCs w:val="22"/>
        </w:rPr>
        <w:t xml:space="preserve"> grade general education students on the end-of-year administration.</w:t>
      </w:r>
    </w:p>
    <w:p w14:paraId="1B919395" w14:textId="77777777" w:rsidR="00C804BF" w:rsidRPr="00867133" w:rsidRDefault="00C804BF" w:rsidP="000E2AA8">
      <w:pPr>
        <w:jc w:val="center"/>
        <w:rPr>
          <w:rFonts w:asciiTheme="minorHAnsi" w:hAnsiTheme="minorHAnsi" w:cstheme="minorHAnsi"/>
          <w:szCs w:val="24"/>
        </w:rPr>
      </w:pPr>
    </w:p>
    <w:sectPr w:rsidR="00C804BF" w:rsidRPr="00867133" w:rsidSect="009E7D8B">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625D2" w14:textId="77777777" w:rsidR="00382FD3" w:rsidRDefault="00382FD3">
      <w:r>
        <w:separator/>
      </w:r>
    </w:p>
  </w:endnote>
  <w:endnote w:type="continuationSeparator" w:id="0">
    <w:p w14:paraId="347C46CD" w14:textId="77777777" w:rsidR="00382FD3" w:rsidRDefault="0038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9F167" w14:textId="3625262D" w:rsidR="004A5B37" w:rsidRPr="00FC0185" w:rsidRDefault="004A5B37">
    <w:pPr>
      <w:pStyle w:val="Footer"/>
      <w:rPr>
        <w:rFonts w:asciiTheme="minorHAnsi" w:hAnsiTheme="minorHAnsi" w:cstheme="minorHAnsi"/>
        <w:sz w:val="20"/>
      </w:rPr>
    </w:pPr>
    <w:r w:rsidRPr="00FC0185">
      <w:rPr>
        <w:rFonts w:asciiTheme="minorHAnsi" w:hAnsiTheme="minorHAnsi" w:cstheme="minorHAnsi"/>
        <w:i/>
        <w:sz w:val="20"/>
      </w:rPr>
      <w:t>SUNY Charter Schools Institute</w:t>
    </w:r>
    <w:r w:rsidR="000E2AA8">
      <w:rPr>
        <w:rFonts w:asciiTheme="minorHAnsi" w:hAnsiTheme="minorHAnsi" w:cstheme="minorHAnsi"/>
        <w:i/>
        <w:sz w:val="20"/>
      </w:rPr>
      <w:t xml:space="preserve"> Data Framework for Analysis Guidelines 2020-21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0C7DB" w14:textId="77777777" w:rsidR="00382FD3" w:rsidRDefault="00382FD3">
      <w:r>
        <w:separator/>
      </w:r>
    </w:p>
  </w:footnote>
  <w:footnote w:type="continuationSeparator" w:id="0">
    <w:p w14:paraId="59BB9F2D" w14:textId="77777777" w:rsidR="00382FD3" w:rsidRDefault="0038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259E890" w14:paraId="03F52E4D" w14:textId="77777777" w:rsidTr="4259E890">
      <w:tc>
        <w:tcPr>
          <w:tcW w:w="3120" w:type="dxa"/>
        </w:tcPr>
        <w:p w14:paraId="78160BDE" w14:textId="328C5493" w:rsidR="4259E890" w:rsidRDefault="4259E890" w:rsidP="4259E890">
          <w:pPr>
            <w:pStyle w:val="Header"/>
            <w:ind w:left="-115"/>
          </w:pPr>
        </w:p>
      </w:tc>
      <w:tc>
        <w:tcPr>
          <w:tcW w:w="3120" w:type="dxa"/>
        </w:tcPr>
        <w:p w14:paraId="36AD3D6C" w14:textId="76CADDE4" w:rsidR="4259E890" w:rsidRDefault="4259E890" w:rsidP="4259E890">
          <w:pPr>
            <w:pStyle w:val="Header"/>
            <w:jc w:val="center"/>
          </w:pPr>
        </w:p>
      </w:tc>
      <w:tc>
        <w:tcPr>
          <w:tcW w:w="3120" w:type="dxa"/>
        </w:tcPr>
        <w:p w14:paraId="571CC50E" w14:textId="006DE6E4" w:rsidR="4259E890" w:rsidRDefault="4259E890" w:rsidP="4259E890">
          <w:pPr>
            <w:pStyle w:val="Header"/>
            <w:ind w:right="-115"/>
            <w:jc w:val="right"/>
          </w:pPr>
        </w:p>
      </w:tc>
    </w:tr>
  </w:tbl>
  <w:p w14:paraId="799B7957" w14:textId="1168BF76" w:rsidR="4259E890" w:rsidRDefault="4259E890" w:rsidP="4259E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242"/>
    <w:multiLevelType w:val="multilevel"/>
    <w:tmpl w:val="96A0EE3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DE7C95"/>
    <w:multiLevelType w:val="hybridMultilevel"/>
    <w:tmpl w:val="42400C1C"/>
    <w:lvl w:ilvl="0" w:tplc="3EC09A64">
      <w:start w:val="1"/>
      <w:numFmt w:val="bullet"/>
      <w:lvlText w:val="-"/>
      <w:lvlJc w:val="left"/>
      <w:pPr>
        <w:tabs>
          <w:tab w:val="num" w:pos="720"/>
        </w:tabs>
        <w:ind w:left="720" w:hanging="360"/>
      </w:pPr>
      <w:rPr>
        <w:rFonts w:ascii="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E2DC0"/>
    <w:multiLevelType w:val="hybridMultilevel"/>
    <w:tmpl w:val="9CB20258"/>
    <w:lvl w:ilvl="0" w:tplc="04090001">
      <w:start w:val="1"/>
      <w:numFmt w:val="bullet"/>
      <w:lvlText w:val=""/>
      <w:lvlJc w:val="left"/>
      <w:pPr>
        <w:tabs>
          <w:tab w:val="num" w:pos="1080"/>
        </w:tabs>
        <w:ind w:left="1080" w:hanging="360"/>
      </w:pPr>
      <w:rPr>
        <w:rFonts w:ascii="Symbol" w:hAnsi="Symbol" w:hint="default"/>
        <w:color w:val="000000"/>
      </w:rPr>
    </w:lvl>
    <w:lvl w:ilvl="1" w:tplc="3A821D90">
      <w:numFmt w:val="bullet"/>
      <w:lvlText w:val="-"/>
      <w:lvlJc w:val="left"/>
      <w:pPr>
        <w:tabs>
          <w:tab w:val="num" w:pos="1800"/>
        </w:tabs>
        <w:ind w:left="1800" w:hanging="360"/>
      </w:pPr>
      <w:rPr>
        <w:rFonts w:ascii="Arial" w:hAnsi="Arial" w:hint="default"/>
        <w:color w:val="00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D01E6A"/>
    <w:multiLevelType w:val="hybridMultilevel"/>
    <w:tmpl w:val="0828212E"/>
    <w:lvl w:ilvl="0" w:tplc="04090001">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7D71EF"/>
    <w:multiLevelType w:val="hybridMultilevel"/>
    <w:tmpl w:val="4684AEDC"/>
    <w:lvl w:ilvl="0" w:tplc="BFD848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836D0"/>
    <w:multiLevelType w:val="multilevel"/>
    <w:tmpl w:val="0828212E"/>
    <w:lvl w:ilvl="0">
      <w:start w:val="1"/>
      <w:numFmt w:val="bullet"/>
      <w:lvlText w:val=""/>
      <w:lvlJc w:val="left"/>
      <w:pPr>
        <w:tabs>
          <w:tab w:val="num" w:pos="1080"/>
        </w:tabs>
        <w:ind w:left="1080" w:hanging="360"/>
      </w:pPr>
      <w:rPr>
        <w:rFonts w:ascii="Symbol" w:hAnsi="Symbol" w:hint="default"/>
        <w:color w:val="00000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440DE5"/>
    <w:multiLevelType w:val="hybridMultilevel"/>
    <w:tmpl w:val="7910CC9E"/>
    <w:lvl w:ilvl="0" w:tplc="3A821D90">
      <w:numFmt w:val="bullet"/>
      <w:lvlText w:val="-"/>
      <w:lvlJc w:val="left"/>
      <w:pPr>
        <w:tabs>
          <w:tab w:val="num" w:pos="2160"/>
        </w:tabs>
        <w:ind w:left="2160" w:hanging="360"/>
      </w:pPr>
      <w:rPr>
        <w:rFonts w:ascii="Arial" w:hAnsi="Arial" w:hint="default"/>
        <w:color w:val="00000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CB5084"/>
    <w:multiLevelType w:val="hybridMultilevel"/>
    <w:tmpl w:val="42DA0E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23A24ED"/>
    <w:multiLevelType w:val="hybridMultilevel"/>
    <w:tmpl w:val="78525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840D6"/>
    <w:multiLevelType w:val="multilevel"/>
    <w:tmpl w:val="42400C1C"/>
    <w:lvl w:ilvl="0">
      <w:start w:val="1"/>
      <w:numFmt w:val="bullet"/>
      <w:lvlText w:val="-"/>
      <w:lvlJc w:val="left"/>
      <w:pPr>
        <w:tabs>
          <w:tab w:val="num" w:pos="720"/>
        </w:tabs>
        <w:ind w:left="720" w:hanging="360"/>
      </w:pPr>
      <w:rPr>
        <w:rFonts w:ascii="Times New Roman" w:hAnsi="Times New Roman" w:cs="Times New Roman"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77349E"/>
    <w:multiLevelType w:val="hybridMultilevel"/>
    <w:tmpl w:val="9E267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C12FAE"/>
    <w:multiLevelType w:val="hybridMultilevel"/>
    <w:tmpl w:val="F47034CA"/>
    <w:lvl w:ilvl="0" w:tplc="04090001">
      <w:start w:val="1"/>
      <w:numFmt w:val="bullet"/>
      <w:lvlText w:val=""/>
      <w:lvlJc w:val="left"/>
      <w:pPr>
        <w:tabs>
          <w:tab w:val="num" w:pos="1080"/>
        </w:tabs>
        <w:ind w:left="1080" w:hanging="360"/>
      </w:pPr>
      <w:rPr>
        <w:rFonts w:ascii="Symbol" w:hAnsi="Symbol" w:hint="default"/>
        <w:color w:val="000000"/>
      </w:rPr>
    </w:lvl>
    <w:lvl w:ilvl="1" w:tplc="3EC09A64">
      <w:start w:val="1"/>
      <w:numFmt w:val="bullet"/>
      <w:lvlText w:val="-"/>
      <w:lvlJc w:val="left"/>
      <w:pPr>
        <w:tabs>
          <w:tab w:val="num" w:pos="1440"/>
        </w:tabs>
        <w:ind w:left="1440" w:hanging="360"/>
      </w:pPr>
      <w:rPr>
        <w:rFonts w:ascii="Times New Roman" w:hAnsi="Times New Roman" w:cs="Times New Roman"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BD4C95"/>
    <w:multiLevelType w:val="hybridMultilevel"/>
    <w:tmpl w:val="B58EB1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A87BAD"/>
    <w:multiLevelType w:val="hybridMultilevel"/>
    <w:tmpl w:val="CCA2FCA6"/>
    <w:lvl w:ilvl="0" w:tplc="3EC09A64">
      <w:start w:val="1"/>
      <w:numFmt w:val="bullet"/>
      <w:lvlText w:val="-"/>
      <w:lvlJc w:val="left"/>
      <w:pPr>
        <w:tabs>
          <w:tab w:val="num" w:pos="720"/>
        </w:tabs>
        <w:ind w:left="720" w:hanging="360"/>
      </w:pPr>
      <w:rPr>
        <w:rFonts w:ascii="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CB1A86"/>
    <w:multiLevelType w:val="hybridMultilevel"/>
    <w:tmpl w:val="12CA2964"/>
    <w:lvl w:ilvl="0" w:tplc="04090011">
      <w:start w:val="1"/>
      <w:numFmt w:val="decimal"/>
      <w:lvlText w:val="%1)"/>
      <w:lvlJc w:val="left"/>
      <w:pPr>
        <w:tabs>
          <w:tab w:val="num" w:pos="1080"/>
        </w:tabs>
        <w:ind w:left="1080" w:hanging="360"/>
      </w:pPr>
    </w:lvl>
    <w:lvl w:ilvl="1" w:tplc="E8D6EF26">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1A42C0B"/>
    <w:multiLevelType w:val="hybridMultilevel"/>
    <w:tmpl w:val="DAEAF774"/>
    <w:lvl w:ilvl="0" w:tplc="04090001">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357A5"/>
    <w:multiLevelType w:val="multilevel"/>
    <w:tmpl w:val="2558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DF031F"/>
    <w:multiLevelType w:val="multilevel"/>
    <w:tmpl w:val="7910CC9E"/>
    <w:lvl w:ilvl="0">
      <w:numFmt w:val="bullet"/>
      <w:lvlText w:val="-"/>
      <w:lvlJc w:val="left"/>
      <w:pPr>
        <w:tabs>
          <w:tab w:val="num" w:pos="2160"/>
        </w:tabs>
        <w:ind w:left="2160" w:hanging="360"/>
      </w:pPr>
      <w:rPr>
        <w:rFonts w:ascii="Arial" w:hAnsi="Arial" w:hint="default"/>
        <w:color w:val="00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D8B2F9D"/>
    <w:multiLevelType w:val="multilevel"/>
    <w:tmpl w:val="CCA2FCA6"/>
    <w:lvl w:ilvl="0">
      <w:start w:val="1"/>
      <w:numFmt w:val="bullet"/>
      <w:lvlText w:val="-"/>
      <w:lvlJc w:val="left"/>
      <w:pPr>
        <w:tabs>
          <w:tab w:val="num" w:pos="720"/>
        </w:tabs>
        <w:ind w:left="720" w:hanging="360"/>
      </w:pPr>
      <w:rPr>
        <w:rFonts w:ascii="Times New Roman" w:hAnsi="Times New Roman" w:cs="Times New Roman"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4E1B54"/>
    <w:multiLevelType w:val="multilevel"/>
    <w:tmpl w:val="4E84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7D1982"/>
    <w:multiLevelType w:val="multilevel"/>
    <w:tmpl w:val="DAEAF774"/>
    <w:lvl w:ilvl="0">
      <w:start w:val="1"/>
      <w:numFmt w:val="bullet"/>
      <w:lvlText w:val=""/>
      <w:lvlJc w:val="left"/>
      <w:pPr>
        <w:tabs>
          <w:tab w:val="num" w:pos="1080"/>
        </w:tabs>
        <w:ind w:left="108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000DF3"/>
    <w:multiLevelType w:val="hybridMultilevel"/>
    <w:tmpl w:val="A98CE0FA"/>
    <w:lvl w:ilvl="0" w:tplc="3A821D90">
      <w:numFmt w:val="bullet"/>
      <w:lvlText w:val="-"/>
      <w:lvlJc w:val="left"/>
      <w:pPr>
        <w:tabs>
          <w:tab w:val="num" w:pos="2160"/>
        </w:tabs>
        <w:ind w:left="2160" w:hanging="360"/>
      </w:pPr>
      <w:rPr>
        <w:rFonts w:ascii="Arial" w:hAnsi="Arial" w:hint="default"/>
        <w:color w:val="000000"/>
      </w:rPr>
    </w:lvl>
    <w:lvl w:ilvl="1" w:tplc="3EC09A64">
      <w:start w:val="1"/>
      <w:numFmt w:val="bullet"/>
      <w:lvlText w:val="-"/>
      <w:lvlJc w:val="left"/>
      <w:pPr>
        <w:tabs>
          <w:tab w:val="num" w:pos="2160"/>
        </w:tabs>
        <w:ind w:left="2160" w:hanging="360"/>
      </w:pPr>
      <w:rPr>
        <w:rFonts w:ascii="Times New Roman" w:hAnsi="Times New Roman" w:cs="Times New Roman" w:hint="default"/>
        <w:color w:val="00000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4"/>
  </w:num>
  <w:num w:numId="3">
    <w:abstractNumId w:val="0"/>
  </w:num>
  <w:num w:numId="4">
    <w:abstractNumId w:val="1"/>
  </w:num>
  <w:num w:numId="5">
    <w:abstractNumId w:val="9"/>
  </w:num>
  <w:num w:numId="6">
    <w:abstractNumId w:val="3"/>
  </w:num>
  <w:num w:numId="7">
    <w:abstractNumId w:val="5"/>
  </w:num>
  <w:num w:numId="8">
    <w:abstractNumId w:val="2"/>
  </w:num>
  <w:num w:numId="9">
    <w:abstractNumId w:val="6"/>
  </w:num>
  <w:num w:numId="10">
    <w:abstractNumId w:val="17"/>
  </w:num>
  <w:num w:numId="11">
    <w:abstractNumId w:val="21"/>
  </w:num>
  <w:num w:numId="12">
    <w:abstractNumId w:val="13"/>
  </w:num>
  <w:num w:numId="13">
    <w:abstractNumId w:val="18"/>
  </w:num>
  <w:num w:numId="14">
    <w:abstractNumId w:val="15"/>
  </w:num>
  <w:num w:numId="15">
    <w:abstractNumId w:val="20"/>
  </w:num>
  <w:num w:numId="16">
    <w:abstractNumId w:val="11"/>
  </w:num>
  <w:num w:numId="17">
    <w:abstractNumId w:val="7"/>
  </w:num>
  <w:num w:numId="18">
    <w:abstractNumId w:val="12"/>
  </w:num>
  <w:num w:numId="19">
    <w:abstractNumId w:val="8"/>
  </w:num>
  <w:num w:numId="20">
    <w:abstractNumId w:val="4"/>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3F"/>
    <w:rsid w:val="000046AA"/>
    <w:rsid w:val="00005F4E"/>
    <w:rsid w:val="0002600F"/>
    <w:rsid w:val="00037869"/>
    <w:rsid w:val="00053417"/>
    <w:rsid w:val="0006274A"/>
    <w:rsid w:val="00062E9E"/>
    <w:rsid w:val="00062FA4"/>
    <w:rsid w:val="00077BEE"/>
    <w:rsid w:val="000872F1"/>
    <w:rsid w:val="0009122B"/>
    <w:rsid w:val="00091C07"/>
    <w:rsid w:val="000A6FCD"/>
    <w:rsid w:val="000B1F12"/>
    <w:rsid w:val="000B4EA5"/>
    <w:rsid w:val="000B6E22"/>
    <w:rsid w:val="000E2AA8"/>
    <w:rsid w:val="000E74BB"/>
    <w:rsid w:val="000F1D01"/>
    <w:rsid w:val="000F3CFD"/>
    <w:rsid w:val="000F4C21"/>
    <w:rsid w:val="000F4FA7"/>
    <w:rsid w:val="000F6641"/>
    <w:rsid w:val="00101F6C"/>
    <w:rsid w:val="001034BB"/>
    <w:rsid w:val="00103B33"/>
    <w:rsid w:val="00104EDF"/>
    <w:rsid w:val="001149D1"/>
    <w:rsid w:val="001159C5"/>
    <w:rsid w:val="00131C5A"/>
    <w:rsid w:val="001325CF"/>
    <w:rsid w:val="00133768"/>
    <w:rsid w:val="0013670A"/>
    <w:rsid w:val="00154B8A"/>
    <w:rsid w:val="00156232"/>
    <w:rsid w:val="00174F2E"/>
    <w:rsid w:val="001A2110"/>
    <w:rsid w:val="001B4B18"/>
    <w:rsid w:val="001C5722"/>
    <w:rsid w:val="001D3162"/>
    <w:rsid w:val="001E2243"/>
    <w:rsid w:val="001F2A45"/>
    <w:rsid w:val="001F5A0D"/>
    <w:rsid w:val="001F7C1F"/>
    <w:rsid w:val="0020057F"/>
    <w:rsid w:val="00205A61"/>
    <w:rsid w:val="00211872"/>
    <w:rsid w:val="0022093C"/>
    <w:rsid w:val="00223245"/>
    <w:rsid w:val="00223775"/>
    <w:rsid w:val="00225AC1"/>
    <w:rsid w:val="00226CC0"/>
    <w:rsid w:val="0023132A"/>
    <w:rsid w:val="002404FD"/>
    <w:rsid w:val="00245A08"/>
    <w:rsid w:val="0025172D"/>
    <w:rsid w:val="00252293"/>
    <w:rsid w:val="00257A66"/>
    <w:rsid w:val="00264FD9"/>
    <w:rsid w:val="002661F7"/>
    <w:rsid w:val="00271C81"/>
    <w:rsid w:val="0027253F"/>
    <w:rsid w:val="002828F8"/>
    <w:rsid w:val="00294D0A"/>
    <w:rsid w:val="002A4844"/>
    <w:rsid w:val="002A52D0"/>
    <w:rsid w:val="002B04BC"/>
    <w:rsid w:val="002B7FAA"/>
    <w:rsid w:val="002C145D"/>
    <w:rsid w:val="002D203A"/>
    <w:rsid w:val="002E2D09"/>
    <w:rsid w:val="002F2D1D"/>
    <w:rsid w:val="0030045F"/>
    <w:rsid w:val="00306A93"/>
    <w:rsid w:val="00311646"/>
    <w:rsid w:val="00316DC6"/>
    <w:rsid w:val="00321D13"/>
    <w:rsid w:val="0032212B"/>
    <w:rsid w:val="00331EBB"/>
    <w:rsid w:val="00340470"/>
    <w:rsid w:val="00372EFF"/>
    <w:rsid w:val="00382FD3"/>
    <w:rsid w:val="003A2D2C"/>
    <w:rsid w:val="003B67EB"/>
    <w:rsid w:val="003C302F"/>
    <w:rsid w:val="003D184E"/>
    <w:rsid w:val="003D19A8"/>
    <w:rsid w:val="003F365F"/>
    <w:rsid w:val="003F6F40"/>
    <w:rsid w:val="003F7A69"/>
    <w:rsid w:val="00405EF0"/>
    <w:rsid w:val="00406BCE"/>
    <w:rsid w:val="00411D83"/>
    <w:rsid w:val="00423078"/>
    <w:rsid w:val="00441BFB"/>
    <w:rsid w:val="00452440"/>
    <w:rsid w:val="00466995"/>
    <w:rsid w:val="00470B56"/>
    <w:rsid w:val="00475174"/>
    <w:rsid w:val="004757DC"/>
    <w:rsid w:val="00487511"/>
    <w:rsid w:val="00492162"/>
    <w:rsid w:val="00496C13"/>
    <w:rsid w:val="00497220"/>
    <w:rsid w:val="004A5B37"/>
    <w:rsid w:val="004B3937"/>
    <w:rsid w:val="004B4DDA"/>
    <w:rsid w:val="004B7225"/>
    <w:rsid w:val="004C565A"/>
    <w:rsid w:val="004C734F"/>
    <w:rsid w:val="004D29D8"/>
    <w:rsid w:val="004D2C71"/>
    <w:rsid w:val="004D4E8F"/>
    <w:rsid w:val="004E00C6"/>
    <w:rsid w:val="004E0BF5"/>
    <w:rsid w:val="004F1C6C"/>
    <w:rsid w:val="004F7727"/>
    <w:rsid w:val="00505028"/>
    <w:rsid w:val="00530294"/>
    <w:rsid w:val="00530CFB"/>
    <w:rsid w:val="00535425"/>
    <w:rsid w:val="00547CF2"/>
    <w:rsid w:val="00581476"/>
    <w:rsid w:val="00581C24"/>
    <w:rsid w:val="005A7699"/>
    <w:rsid w:val="005C260E"/>
    <w:rsid w:val="005C62E9"/>
    <w:rsid w:val="005C7556"/>
    <w:rsid w:val="005D375F"/>
    <w:rsid w:val="005F5D42"/>
    <w:rsid w:val="00601025"/>
    <w:rsid w:val="00605162"/>
    <w:rsid w:val="006107EB"/>
    <w:rsid w:val="006145D5"/>
    <w:rsid w:val="00623795"/>
    <w:rsid w:val="00640061"/>
    <w:rsid w:val="00645883"/>
    <w:rsid w:val="006539B7"/>
    <w:rsid w:val="00663405"/>
    <w:rsid w:val="00665B27"/>
    <w:rsid w:val="006916D5"/>
    <w:rsid w:val="006A0057"/>
    <w:rsid w:val="006A3E19"/>
    <w:rsid w:val="006B32E8"/>
    <w:rsid w:val="006C1DF5"/>
    <w:rsid w:val="006C25E5"/>
    <w:rsid w:val="006C621D"/>
    <w:rsid w:val="006D296D"/>
    <w:rsid w:val="00706B85"/>
    <w:rsid w:val="00721954"/>
    <w:rsid w:val="00721F6C"/>
    <w:rsid w:val="00727B9F"/>
    <w:rsid w:val="00732BA1"/>
    <w:rsid w:val="00737F48"/>
    <w:rsid w:val="00755281"/>
    <w:rsid w:val="007554CC"/>
    <w:rsid w:val="00764D2B"/>
    <w:rsid w:val="00765118"/>
    <w:rsid w:val="007670C9"/>
    <w:rsid w:val="007711B1"/>
    <w:rsid w:val="0077385D"/>
    <w:rsid w:val="007818EF"/>
    <w:rsid w:val="0078384B"/>
    <w:rsid w:val="00783A6F"/>
    <w:rsid w:val="00786A19"/>
    <w:rsid w:val="007A572D"/>
    <w:rsid w:val="007B2343"/>
    <w:rsid w:val="007C1038"/>
    <w:rsid w:val="007D2498"/>
    <w:rsid w:val="007D4309"/>
    <w:rsid w:val="007D76AE"/>
    <w:rsid w:val="007E2E6F"/>
    <w:rsid w:val="007E6A40"/>
    <w:rsid w:val="007F36DC"/>
    <w:rsid w:val="00803066"/>
    <w:rsid w:val="00807C6F"/>
    <w:rsid w:val="00812E5D"/>
    <w:rsid w:val="008141F8"/>
    <w:rsid w:val="00820AF1"/>
    <w:rsid w:val="008267C0"/>
    <w:rsid w:val="00831BFE"/>
    <w:rsid w:val="00840B5A"/>
    <w:rsid w:val="00841F2A"/>
    <w:rsid w:val="0084420B"/>
    <w:rsid w:val="008477CE"/>
    <w:rsid w:val="00847DBB"/>
    <w:rsid w:val="00851810"/>
    <w:rsid w:val="00852833"/>
    <w:rsid w:val="008610CE"/>
    <w:rsid w:val="00862AEB"/>
    <w:rsid w:val="00863134"/>
    <w:rsid w:val="008660B9"/>
    <w:rsid w:val="00867133"/>
    <w:rsid w:val="0087037C"/>
    <w:rsid w:val="00870C6C"/>
    <w:rsid w:val="00871022"/>
    <w:rsid w:val="008769F4"/>
    <w:rsid w:val="00877678"/>
    <w:rsid w:val="008819B6"/>
    <w:rsid w:val="0089751B"/>
    <w:rsid w:val="008A2EAA"/>
    <w:rsid w:val="008A68CF"/>
    <w:rsid w:val="008B25F4"/>
    <w:rsid w:val="008B6B08"/>
    <w:rsid w:val="008C3623"/>
    <w:rsid w:val="008C4317"/>
    <w:rsid w:val="008D2DA3"/>
    <w:rsid w:val="008E27B1"/>
    <w:rsid w:val="008E5029"/>
    <w:rsid w:val="008E70E1"/>
    <w:rsid w:val="008F691C"/>
    <w:rsid w:val="00904D43"/>
    <w:rsid w:val="0091222E"/>
    <w:rsid w:val="00915967"/>
    <w:rsid w:val="00920411"/>
    <w:rsid w:val="009234F8"/>
    <w:rsid w:val="009275F1"/>
    <w:rsid w:val="009315E3"/>
    <w:rsid w:val="00944C73"/>
    <w:rsid w:val="00945847"/>
    <w:rsid w:val="009466BE"/>
    <w:rsid w:val="0095546A"/>
    <w:rsid w:val="009570CA"/>
    <w:rsid w:val="009631DB"/>
    <w:rsid w:val="00991761"/>
    <w:rsid w:val="009925A4"/>
    <w:rsid w:val="00993BE5"/>
    <w:rsid w:val="009965A9"/>
    <w:rsid w:val="009A2107"/>
    <w:rsid w:val="009A49DE"/>
    <w:rsid w:val="009A6D0C"/>
    <w:rsid w:val="009A76E1"/>
    <w:rsid w:val="009C45FC"/>
    <w:rsid w:val="009D29CB"/>
    <w:rsid w:val="009E7D8B"/>
    <w:rsid w:val="009F3E44"/>
    <w:rsid w:val="00A05A40"/>
    <w:rsid w:val="00A15180"/>
    <w:rsid w:val="00A20F3A"/>
    <w:rsid w:val="00A32BC4"/>
    <w:rsid w:val="00A45ADA"/>
    <w:rsid w:val="00A46E5E"/>
    <w:rsid w:val="00A5245D"/>
    <w:rsid w:val="00A53A30"/>
    <w:rsid w:val="00A60E0C"/>
    <w:rsid w:val="00A6128F"/>
    <w:rsid w:val="00A62437"/>
    <w:rsid w:val="00A62680"/>
    <w:rsid w:val="00A87921"/>
    <w:rsid w:val="00A90114"/>
    <w:rsid w:val="00AA197A"/>
    <w:rsid w:val="00AA2CBF"/>
    <w:rsid w:val="00AB5E6B"/>
    <w:rsid w:val="00AC1FD2"/>
    <w:rsid w:val="00AD415D"/>
    <w:rsid w:val="00AD5D0D"/>
    <w:rsid w:val="00AF0ACD"/>
    <w:rsid w:val="00AF4259"/>
    <w:rsid w:val="00AF6D16"/>
    <w:rsid w:val="00AF784D"/>
    <w:rsid w:val="00B00707"/>
    <w:rsid w:val="00B009D9"/>
    <w:rsid w:val="00B02813"/>
    <w:rsid w:val="00B048B0"/>
    <w:rsid w:val="00B10A70"/>
    <w:rsid w:val="00B17509"/>
    <w:rsid w:val="00B242B2"/>
    <w:rsid w:val="00B549B3"/>
    <w:rsid w:val="00B55122"/>
    <w:rsid w:val="00B66F0B"/>
    <w:rsid w:val="00B67ACF"/>
    <w:rsid w:val="00B71526"/>
    <w:rsid w:val="00B76E5E"/>
    <w:rsid w:val="00B772EA"/>
    <w:rsid w:val="00B77D1D"/>
    <w:rsid w:val="00B81A7D"/>
    <w:rsid w:val="00B82A3B"/>
    <w:rsid w:val="00B8545E"/>
    <w:rsid w:val="00B95AA5"/>
    <w:rsid w:val="00BB2B68"/>
    <w:rsid w:val="00BB6850"/>
    <w:rsid w:val="00BD5103"/>
    <w:rsid w:val="00BD628D"/>
    <w:rsid w:val="00BE3A67"/>
    <w:rsid w:val="00C0354D"/>
    <w:rsid w:val="00C0415B"/>
    <w:rsid w:val="00C30021"/>
    <w:rsid w:val="00C33516"/>
    <w:rsid w:val="00C46D43"/>
    <w:rsid w:val="00C51482"/>
    <w:rsid w:val="00C56673"/>
    <w:rsid w:val="00C66AE4"/>
    <w:rsid w:val="00C707E2"/>
    <w:rsid w:val="00C709AD"/>
    <w:rsid w:val="00C70CE4"/>
    <w:rsid w:val="00C804BF"/>
    <w:rsid w:val="00C80E48"/>
    <w:rsid w:val="00C86F1C"/>
    <w:rsid w:val="00C90CB8"/>
    <w:rsid w:val="00C93645"/>
    <w:rsid w:val="00C96A29"/>
    <w:rsid w:val="00C96CB6"/>
    <w:rsid w:val="00CA6925"/>
    <w:rsid w:val="00CB1A4E"/>
    <w:rsid w:val="00CB3B8C"/>
    <w:rsid w:val="00CB4C1C"/>
    <w:rsid w:val="00CB55B5"/>
    <w:rsid w:val="00CC1B7A"/>
    <w:rsid w:val="00CC5B05"/>
    <w:rsid w:val="00CC6C8E"/>
    <w:rsid w:val="00CD1861"/>
    <w:rsid w:val="00CD57B2"/>
    <w:rsid w:val="00CE0739"/>
    <w:rsid w:val="00CF1CF1"/>
    <w:rsid w:val="00CF260F"/>
    <w:rsid w:val="00D05980"/>
    <w:rsid w:val="00D072BA"/>
    <w:rsid w:val="00D1266B"/>
    <w:rsid w:val="00D21470"/>
    <w:rsid w:val="00D21CEF"/>
    <w:rsid w:val="00D24E00"/>
    <w:rsid w:val="00D25CF6"/>
    <w:rsid w:val="00D3202C"/>
    <w:rsid w:val="00D32EEC"/>
    <w:rsid w:val="00D339FB"/>
    <w:rsid w:val="00D4003E"/>
    <w:rsid w:val="00D42B21"/>
    <w:rsid w:val="00D43554"/>
    <w:rsid w:val="00D46A02"/>
    <w:rsid w:val="00D6048B"/>
    <w:rsid w:val="00D60CF4"/>
    <w:rsid w:val="00D61485"/>
    <w:rsid w:val="00D63104"/>
    <w:rsid w:val="00D70919"/>
    <w:rsid w:val="00D74BCA"/>
    <w:rsid w:val="00D923C1"/>
    <w:rsid w:val="00DA0FB0"/>
    <w:rsid w:val="00DA4C91"/>
    <w:rsid w:val="00DA5914"/>
    <w:rsid w:val="00DF35FE"/>
    <w:rsid w:val="00DF5F41"/>
    <w:rsid w:val="00E225D2"/>
    <w:rsid w:val="00E42253"/>
    <w:rsid w:val="00E44BEB"/>
    <w:rsid w:val="00E50C7C"/>
    <w:rsid w:val="00E57390"/>
    <w:rsid w:val="00E5772A"/>
    <w:rsid w:val="00E603BA"/>
    <w:rsid w:val="00E67575"/>
    <w:rsid w:val="00E73BDE"/>
    <w:rsid w:val="00E752C0"/>
    <w:rsid w:val="00E80F00"/>
    <w:rsid w:val="00E814CF"/>
    <w:rsid w:val="00E91C24"/>
    <w:rsid w:val="00E96CBD"/>
    <w:rsid w:val="00ED1749"/>
    <w:rsid w:val="00ED5E72"/>
    <w:rsid w:val="00EE234B"/>
    <w:rsid w:val="00EE2F5D"/>
    <w:rsid w:val="00EE5A53"/>
    <w:rsid w:val="00EF07D6"/>
    <w:rsid w:val="00EF3E2B"/>
    <w:rsid w:val="00F04F7F"/>
    <w:rsid w:val="00F0543D"/>
    <w:rsid w:val="00F05E07"/>
    <w:rsid w:val="00F1258C"/>
    <w:rsid w:val="00F1495B"/>
    <w:rsid w:val="00F211CB"/>
    <w:rsid w:val="00F25C51"/>
    <w:rsid w:val="00F300B4"/>
    <w:rsid w:val="00F368B4"/>
    <w:rsid w:val="00F55CC1"/>
    <w:rsid w:val="00F57920"/>
    <w:rsid w:val="00F6058C"/>
    <w:rsid w:val="00F676C4"/>
    <w:rsid w:val="00F814F7"/>
    <w:rsid w:val="00F820AF"/>
    <w:rsid w:val="00F82DCB"/>
    <w:rsid w:val="00FB7326"/>
    <w:rsid w:val="00FC0185"/>
    <w:rsid w:val="00FC430B"/>
    <w:rsid w:val="00FC7F4C"/>
    <w:rsid w:val="00FD233F"/>
    <w:rsid w:val="00FD25EE"/>
    <w:rsid w:val="4259E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F825C"/>
  <w15:docId w15:val="{4D5FD9CA-421D-4D74-B262-4A5D2D1A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1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5847"/>
    <w:rPr>
      <w:color w:val="0000FF"/>
      <w:u w:val="single"/>
    </w:rPr>
  </w:style>
  <w:style w:type="paragraph" w:styleId="BalloonText">
    <w:name w:val="Balloon Text"/>
    <w:basedOn w:val="Normal"/>
    <w:semiHidden/>
    <w:rsid w:val="000B4EA5"/>
    <w:rPr>
      <w:rFonts w:ascii="Tahoma" w:hAnsi="Tahoma" w:cs="Tahoma"/>
      <w:sz w:val="16"/>
      <w:szCs w:val="16"/>
    </w:rPr>
  </w:style>
  <w:style w:type="paragraph" w:styleId="Header">
    <w:name w:val="header"/>
    <w:basedOn w:val="Normal"/>
    <w:rsid w:val="0095546A"/>
    <w:pPr>
      <w:tabs>
        <w:tab w:val="center" w:pos="4320"/>
        <w:tab w:val="right" w:pos="8640"/>
      </w:tabs>
    </w:pPr>
  </w:style>
  <w:style w:type="paragraph" w:styleId="Footer">
    <w:name w:val="footer"/>
    <w:basedOn w:val="Normal"/>
    <w:rsid w:val="0095546A"/>
    <w:pPr>
      <w:tabs>
        <w:tab w:val="center" w:pos="4320"/>
        <w:tab w:val="right" w:pos="8640"/>
      </w:tabs>
    </w:pPr>
  </w:style>
  <w:style w:type="character" w:styleId="FollowedHyperlink">
    <w:name w:val="FollowedHyperlink"/>
    <w:basedOn w:val="DefaultParagraphFont"/>
    <w:rsid w:val="005D375F"/>
    <w:rPr>
      <w:color w:val="800080"/>
      <w:u w:val="single"/>
    </w:rPr>
  </w:style>
  <w:style w:type="character" w:styleId="PageNumber">
    <w:name w:val="page number"/>
    <w:basedOn w:val="DefaultParagraphFont"/>
    <w:rsid w:val="005D375F"/>
  </w:style>
  <w:style w:type="paragraph" w:styleId="ListParagraph">
    <w:name w:val="List Paragraph"/>
    <w:basedOn w:val="Normal"/>
    <w:uiPriority w:val="34"/>
    <w:qFormat/>
    <w:rsid w:val="0030045F"/>
    <w:pPr>
      <w:ind w:left="720"/>
    </w:pPr>
  </w:style>
  <w:style w:type="paragraph" w:styleId="Revision">
    <w:name w:val="Revision"/>
    <w:hidden/>
    <w:uiPriority w:val="99"/>
    <w:semiHidden/>
    <w:rsid w:val="00807C6F"/>
    <w:rPr>
      <w:sz w:val="24"/>
    </w:rPr>
  </w:style>
  <w:style w:type="character" w:styleId="CommentReference">
    <w:name w:val="annotation reference"/>
    <w:basedOn w:val="DefaultParagraphFont"/>
    <w:rsid w:val="00C51482"/>
    <w:rPr>
      <w:sz w:val="16"/>
      <w:szCs w:val="16"/>
    </w:rPr>
  </w:style>
  <w:style w:type="paragraph" w:styleId="CommentText">
    <w:name w:val="annotation text"/>
    <w:basedOn w:val="Normal"/>
    <w:link w:val="CommentTextChar"/>
    <w:rsid w:val="00C51482"/>
    <w:rPr>
      <w:sz w:val="20"/>
    </w:rPr>
  </w:style>
  <w:style w:type="character" w:customStyle="1" w:styleId="CommentTextChar">
    <w:name w:val="Comment Text Char"/>
    <w:basedOn w:val="DefaultParagraphFont"/>
    <w:link w:val="CommentText"/>
    <w:rsid w:val="00C51482"/>
  </w:style>
  <w:style w:type="paragraph" w:styleId="CommentSubject">
    <w:name w:val="annotation subject"/>
    <w:basedOn w:val="CommentText"/>
    <w:next w:val="CommentText"/>
    <w:link w:val="CommentSubjectChar"/>
    <w:rsid w:val="00C51482"/>
    <w:rPr>
      <w:b/>
      <w:bCs/>
    </w:rPr>
  </w:style>
  <w:style w:type="character" w:customStyle="1" w:styleId="CommentSubjectChar">
    <w:name w:val="Comment Subject Char"/>
    <w:basedOn w:val="CommentTextChar"/>
    <w:link w:val="CommentSubject"/>
    <w:rsid w:val="00C51482"/>
    <w:rPr>
      <w:b/>
      <w:bCs/>
    </w:rPr>
  </w:style>
  <w:style w:type="paragraph" w:styleId="FootnoteText">
    <w:name w:val="footnote text"/>
    <w:basedOn w:val="Normal"/>
    <w:link w:val="FootnoteTextChar"/>
    <w:rsid w:val="00B10A70"/>
    <w:rPr>
      <w:sz w:val="20"/>
    </w:rPr>
  </w:style>
  <w:style w:type="character" w:customStyle="1" w:styleId="FootnoteTextChar">
    <w:name w:val="Footnote Text Char"/>
    <w:basedOn w:val="DefaultParagraphFont"/>
    <w:link w:val="FootnoteText"/>
    <w:rsid w:val="00B10A70"/>
  </w:style>
  <w:style w:type="character" w:styleId="FootnoteReference">
    <w:name w:val="footnote reference"/>
    <w:basedOn w:val="DefaultParagraphFont"/>
    <w:rsid w:val="00B10A70"/>
    <w:rPr>
      <w:vertAlign w:val="superscript"/>
    </w:rPr>
  </w:style>
  <w:style w:type="table" w:styleId="TableGrid">
    <w:name w:val="Table Grid"/>
    <w:basedOn w:val="TableNormal"/>
    <w:rsid w:val="00CE0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B25F4"/>
  </w:style>
  <w:style w:type="character" w:customStyle="1" w:styleId="eop">
    <w:name w:val="eop"/>
    <w:basedOn w:val="DefaultParagraphFont"/>
    <w:rsid w:val="008B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34049">
      <w:bodyDiv w:val="1"/>
      <w:marLeft w:val="0"/>
      <w:marRight w:val="0"/>
      <w:marTop w:val="0"/>
      <w:marBottom w:val="0"/>
      <w:divBdr>
        <w:top w:val="none" w:sz="0" w:space="0" w:color="auto"/>
        <w:left w:val="none" w:sz="0" w:space="0" w:color="auto"/>
        <w:bottom w:val="none" w:sz="0" w:space="0" w:color="auto"/>
        <w:right w:val="none" w:sz="0" w:space="0" w:color="auto"/>
      </w:divBdr>
    </w:div>
    <w:div w:id="1258295247">
      <w:bodyDiv w:val="1"/>
      <w:marLeft w:val="0"/>
      <w:marRight w:val="0"/>
      <w:marTop w:val="0"/>
      <w:marBottom w:val="0"/>
      <w:divBdr>
        <w:top w:val="none" w:sz="0" w:space="0" w:color="auto"/>
        <w:left w:val="none" w:sz="0" w:space="0" w:color="auto"/>
        <w:bottom w:val="none" w:sz="0" w:space="0" w:color="auto"/>
        <w:right w:val="none" w:sz="0" w:space="0" w:color="auto"/>
      </w:divBdr>
    </w:div>
    <w:div w:id="1272741565">
      <w:bodyDiv w:val="1"/>
      <w:marLeft w:val="0"/>
      <w:marRight w:val="0"/>
      <w:marTop w:val="0"/>
      <w:marBottom w:val="0"/>
      <w:divBdr>
        <w:top w:val="none" w:sz="0" w:space="0" w:color="auto"/>
        <w:left w:val="none" w:sz="0" w:space="0" w:color="auto"/>
        <w:bottom w:val="none" w:sz="0" w:space="0" w:color="auto"/>
        <w:right w:val="none" w:sz="0" w:space="0" w:color="auto"/>
      </w:divBdr>
    </w:div>
    <w:div w:id="1393768514">
      <w:bodyDiv w:val="1"/>
      <w:marLeft w:val="0"/>
      <w:marRight w:val="0"/>
      <w:marTop w:val="0"/>
      <w:marBottom w:val="0"/>
      <w:divBdr>
        <w:top w:val="none" w:sz="0" w:space="0" w:color="auto"/>
        <w:left w:val="none" w:sz="0" w:space="0" w:color="auto"/>
        <w:bottom w:val="none" w:sz="0" w:space="0" w:color="auto"/>
        <w:right w:val="none" w:sz="0" w:space="0" w:color="auto"/>
      </w:divBdr>
    </w:div>
    <w:div w:id="18132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wea.org/content/uploads/2020/02/NY-MAP-Growth-Linking-Study-Report-2020-07-2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nnjinn.bucknell@suny.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wea.org/content/uploads/2020/02/NY-MAP-Growth-Linking-Study-Report-2020-07-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8290250507A24F8434D5E70676E7CC" ma:contentTypeVersion="16" ma:contentTypeDescription="Create a new document." ma:contentTypeScope="" ma:versionID="aaa2292c73e1e18d4bd85347e1cafbd8">
  <xsd:schema xmlns:xsd="http://www.w3.org/2001/XMLSchema" xmlns:xs="http://www.w3.org/2001/XMLSchema" xmlns:p="http://schemas.microsoft.com/office/2006/metadata/properties" xmlns:ns1="http://schemas.microsoft.com/sharepoint/v3" xmlns:ns2="35bd8e59-b1cf-419f-9b9f-ba69562445fe" xmlns:ns3="36867089-0e66-4887-8f12-d9d978369158" targetNamespace="http://schemas.microsoft.com/office/2006/metadata/properties" ma:root="true" ma:fieldsID="44301e740bfd2999e17108d5d1afbc84" ns1:_="" ns2:_="" ns3:_="">
    <xsd:import namespace="http://schemas.microsoft.com/sharepoint/v3"/>
    <xsd:import namespace="35bd8e59-b1cf-419f-9b9f-ba69562445f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d8e59-b1cf-419f-9b9f-ba6956244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B55D9-8AC9-4F7F-81B4-CA539CB22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bd8e59-b1cf-419f-9b9f-ba69562445f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8F59A-05EF-4A15-B7AE-55F91545FFC0}">
  <ds:schemaRefs>
    <ds:schemaRef ds:uri="http://schemas.microsoft.com/sharepoint/v3/contenttype/forms"/>
  </ds:schemaRefs>
</ds:datastoreItem>
</file>

<file path=customXml/itemProps3.xml><?xml version="1.0" encoding="utf-8"?>
<ds:datastoreItem xmlns:ds="http://schemas.openxmlformats.org/officeDocument/2006/customXml" ds:itemID="{B09F7ADC-C9B9-4B19-AC13-F2BD1476B8B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4C5C97B-9D97-46A1-8671-BB878487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Attached please find your Student Performance Data Workbook for 2009-10</vt:lpstr>
    </vt:vector>
  </TitlesOfParts>
  <Company>State University of New York</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please find your Student Performance Data Workbook for 2009-10</dc:title>
  <dc:creator>laganama</dc:creator>
  <cp:lastModifiedBy>Bucknell, Sinnjinn</cp:lastModifiedBy>
  <cp:revision>2</cp:revision>
  <cp:lastPrinted>2018-03-29T14:50:00Z</cp:lastPrinted>
  <dcterms:created xsi:type="dcterms:W3CDTF">2021-06-01T18:44:00Z</dcterms:created>
  <dcterms:modified xsi:type="dcterms:W3CDTF">2021-06-01T18:44:00Z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0x010100F38290250507A24F8434D5E70676E7CC</vt:lpwstr>
  </property>
</Properties>
</file>