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1BCC6F85">
            <wp:simplePos x="0" y="0"/>
            <wp:positionH relativeFrom="page">
              <wp:posOffset>222250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170CB4E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 xml:space="preserve">October </w:t>
      </w:r>
      <w:r w:rsidR="00A479A6">
        <w:rPr>
          <w:rFonts w:ascii="Arial" w:hAnsi="Arial" w:cs="Arial"/>
          <w:b/>
          <w:szCs w:val="24"/>
        </w:rPr>
        <w:t>12</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A479A6">
        <w:rPr>
          <w:rFonts w:ascii="Arial" w:hAnsi="Arial" w:cs="Arial"/>
          <w:b/>
          <w:szCs w:val="24"/>
        </w:rPr>
        <w:t>3</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7FA902A7"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Grant Central Queens Academy Charter School the Authority to Operate One Additional Charter School, Central Queens Academy Charter School II</w:t>
      </w:r>
      <w:r w:rsidR="00A479A6">
        <w:rPr>
          <w:rFonts w:ascii="Arial" w:hAnsi="Arial" w:cs="Arial"/>
          <w:b/>
          <w:sz w:val="24"/>
          <w:szCs w:val="24"/>
        </w:rPr>
        <w:t xml:space="preserve"> </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2AADAB6E" w:rsidR="00996D44" w:rsidRPr="0007555B" w:rsidRDefault="00996D44" w:rsidP="006A55A4">
      <w:pPr>
        <w:ind w:firstLine="720"/>
        <w:jc w:val="both"/>
        <w:rPr>
          <w:rFonts w:ascii="Arial" w:hAnsi="Arial"/>
          <w:sz w:val="24"/>
          <w:szCs w:val="24"/>
        </w:rPr>
      </w:pPr>
      <w:r w:rsidRPr="177E754B">
        <w:rPr>
          <w:rFonts w:ascii="Arial" w:hAnsi="Arial"/>
          <w:sz w:val="24"/>
          <w:szCs w:val="24"/>
        </w:rPr>
        <w:t xml:space="preserve">The proposed resolution </w:t>
      </w:r>
      <w:r w:rsidR="000F43C4" w:rsidRPr="177E754B">
        <w:rPr>
          <w:rFonts w:ascii="Arial" w:hAnsi="Arial"/>
          <w:sz w:val="24"/>
          <w:szCs w:val="24"/>
        </w:rPr>
        <w:t xml:space="preserve">grants Central Queens Academy Charter School, an existing education corporation authorized by the Board of Trustees to operate one </w:t>
      </w:r>
      <w:r w:rsidR="00AD34E8" w:rsidRPr="177E754B">
        <w:rPr>
          <w:rFonts w:ascii="Arial" w:hAnsi="Arial"/>
          <w:sz w:val="24"/>
          <w:szCs w:val="24"/>
        </w:rPr>
        <w:t>charter school, the authority to operate one additional charter school, Central Queens Academy Charter School II</w:t>
      </w:r>
      <w:r w:rsidR="00E730FE" w:rsidRPr="177E754B">
        <w:rPr>
          <w:rFonts w:ascii="Arial" w:hAnsi="Arial"/>
          <w:sz w:val="24"/>
          <w:szCs w:val="24"/>
        </w:rPr>
        <w:t>, p</w:t>
      </w:r>
      <w:r w:rsidR="00E56432" w:rsidRPr="177E754B">
        <w:rPr>
          <w:rFonts w:ascii="Arial" w:hAnsi="Arial"/>
          <w:sz w:val="24"/>
          <w:szCs w:val="24"/>
        </w:rPr>
        <w:t xml:space="preserve">ursuant to New York </w:t>
      </w:r>
      <w:r w:rsidR="00660B9B" w:rsidRPr="177E754B">
        <w:rPr>
          <w:rFonts w:ascii="Arial" w:hAnsi="Arial"/>
          <w:sz w:val="24"/>
          <w:szCs w:val="24"/>
        </w:rPr>
        <w:t xml:space="preserve">Education Law </w:t>
      </w:r>
      <w:r w:rsidR="00CB6979" w:rsidRPr="177E754B">
        <w:rPr>
          <w:rFonts w:ascii="Arial" w:hAnsi="Arial" w:cs="Arial"/>
          <w:sz w:val="24"/>
          <w:szCs w:val="24"/>
        </w:rPr>
        <w:t>§</w:t>
      </w:r>
      <w:r w:rsidR="00CB6979" w:rsidRPr="177E754B">
        <w:rPr>
          <w:rFonts w:ascii="Arial" w:hAnsi="Arial"/>
          <w:sz w:val="24"/>
          <w:szCs w:val="24"/>
        </w:rPr>
        <w:t xml:space="preserve"> </w:t>
      </w:r>
      <w:r w:rsidR="00660B9B" w:rsidRPr="177E754B">
        <w:rPr>
          <w:rFonts w:ascii="Arial" w:hAnsi="Arial"/>
          <w:sz w:val="24"/>
          <w:szCs w:val="24"/>
        </w:rPr>
        <w:t>2852(9-a).</w:t>
      </w:r>
      <w:r w:rsidR="00E730FE" w:rsidRPr="177E754B">
        <w:rPr>
          <w:rFonts w:ascii="Arial" w:hAnsi="Arial"/>
          <w:sz w:val="24"/>
          <w:szCs w:val="24"/>
        </w:rPr>
        <w:t xml:space="preserve"> The education corporation will be ren</w:t>
      </w:r>
      <w:r w:rsidR="001A27E7" w:rsidRPr="177E754B">
        <w:rPr>
          <w:rFonts w:ascii="Arial" w:hAnsi="Arial"/>
          <w:sz w:val="24"/>
          <w:szCs w:val="24"/>
        </w:rPr>
        <w:t>amed</w:t>
      </w:r>
      <w:r w:rsidR="00E730FE" w:rsidRPr="177E754B">
        <w:rPr>
          <w:rFonts w:ascii="Arial" w:hAnsi="Arial"/>
          <w:sz w:val="24"/>
          <w:szCs w:val="24"/>
        </w:rPr>
        <w:t xml:space="preserve"> “Central Queens Academy Charter Schools.”</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1FF9FC85"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1E05D6">
        <w:rPr>
          <w:rFonts w:ascii="Arial" w:hAnsi="Arial"/>
          <w:szCs w:val="24"/>
        </w:rPr>
        <w:t>February 10,</w:t>
      </w:r>
      <w:r w:rsidR="00D3787D">
        <w:rPr>
          <w:rFonts w:ascii="Arial" w:hAnsi="Arial"/>
          <w:szCs w:val="24"/>
        </w:rPr>
        <w:t xml:space="preserve"> </w:t>
      </w:r>
      <w:proofErr w:type="gramStart"/>
      <w:r w:rsidR="00D3787D">
        <w:rPr>
          <w:rFonts w:ascii="Arial" w:hAnsi="Arial"/>
          <w:szCs w:val="24"/>
        </w:rPr>
        <w:t>202</w:t>
      </w:r>
      <w:r w:rsidR="001E05D6">
        <w:rPr>
          <w:rFonts w:ascii="Arial" w:hAnsi="Arial"/>
          <w:szCs w:val="24"/>
        </w:rPr>
        <w:t>3</w:t>
      </w:r>
      <w:proofErr w:type="gramEnd"/>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 xml:space="preserve">2023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08AF704" w14:textId="3FCE95CE" w:rsidR="00EF1AD0" w:rsidRPr="00AD4BCA" w:rsidRDefault="00EF1AD0" w:rsidP="00A036E8">
      <w:pPr>
        <w:pStyle w:val="BodyTextIndent2"/>
        <w:ind w:right="720"/>
        <w:jc w:val="both"/>
        <w:rPr>
          <w:rFonts w:ascii="Arial" w:hAnsi="Arial" w:cs="Arial"/>
          <w:szCs w:val="24"/>
        </w:rPr>
      </w:pPr>
      <w:r w:rsidRPr="00AD4BCA">
        <w:rPr>
          <w:rFonts w:ascii="Arial" w:hAnsi="Arial" w:cs="Arial"/>
          <w:szCs w:val="24"/>
          <w:u w:val="single"/>
        </w:rPr>
        <w:t>Whereas</w:t>
      </w:r>
      <w:r w:rsidR="009A072B" w:rsidRPr="00AD4BCA">
        <w:rPr>
          <w:rFonts w:ascii="Arial" w:hAnsi="Arial" w:cs="Arial"/>
          <w:szCs w:val="24"/>
        </w:rPr>
        <w:t xml:space="preserve"> the Institute issued a supplement to the </w:t>
      </w:r>
      <w:r w:rsidR="00E1088D" w:rsidRPr="00AD4BCA">
        <w:rPr>
          <w:rFonts w:ascii="Arial" w:hAnsi="Arial" w:cs="Arial"/>
          <w:szCs w:val="24"/>
        </w:rPr>
        <w:t xml:space="preserve">2023 </w:t>
      </w:r>
      <w:r w:rsidR="009A072B" w:rsidRPr="00AD4BCA">
        <w:rPr>
          <w:rFonts w:ascii="Arial" w:hAnsi="Arial" w:cs="Arial"/>
          <w:szCs w:val="24"/>
        </w:rPr>
        <w:t xml:space="preserve">RFP allowing </w:t>
      </w:r>
      <w:r w:rsidR="0028483F" w:rsidRPr="00AD4BCA">
        <w:rPr>
          <w:rFonts w:ascii="Arial" w:hAnsi="Arial" w:cs="Arial"/>
          <w:szCs w:val="24"/>
        </w:rPr>
        <w:t>an additional round of application</w:t>
      </w:r>
      <w:r w:rsidR="004260EC" w:rsidRPr="00AD4BCA">
        <w:rPr>
          <w:rFonts w:ascii="Arial" w:hAnsi="Arial" w:cs="Arial"/>
          <w:szCs w:val="24"/>
        </w:rPr>
        <w:t>s</w:t>
      </w:r>
      <w:r w:rsidR="0028483F" w:rsidRPr="00AD4BCA">
        <w:rPr>
          <w:rFonts w:ascii="Arial" w:hAnsi="Arial" w:cs="Arial"/>
          <w:szCs w:val="24"/>
        </w:rPr>
        <w:t xml:space="preserve"> specifically to </w:t>
      </w:r>
      <w:r w:rsidR="004E6741" w:rsidRPr="00AD4BCA">
        <w:rPr>
          <w:rFonts w:ascii="Arial" w:hAnsi="Arial" w:cs="Arial"/>
          <w:szCs w:val="24"/>
        </w:rPr>
        <w:t xml:space="preserve">applicants who had been approved </w:t>
      </w:r>
      <w:r w:rsidR="0028483F" w:rsidRPr="00AD4BCA">
        <w:rPr>
          <w:rFonts w:ascii="Arial" w:hAnsi="Arial" w:cs="Arial"/>
          <w:szCs w:val="24"/>
        </w:rPr>
        <w:t xml:space="preserve">pursuant to the 2019 RFP but had not received charters </w:t>
      </w:r>
      <w:r w:rsidR="004260EC" w:rsidRPr="00AD4BCA">
        <w:rPr>
          <w:rFonts w:ascii="Arial" w:hAnsi="Arial" w:cs="Arial"/>
          <w:szCs w:val="24"/>
        </w:rPr>
        <w:t xml:space="preserve">to </w:t>
      </w:r>
      <w:r w:rsidR="0028483F" w:rsidRPr="00AD4BCA">
        <w:rPr>
          <w:rFonts w:ascii="Arial" w:hAnsi="Arial" w:cs="Arial"/>
          <w:szCs w:val="24"/>
        </w:rPr>
        <w:t>apply</w:t>
      </w:r>
      <w:r w:rsidR="004260EC" w:rsidRPr="00AD4BCA">
        <w:rPr>
          <w:rFonts w:ascii="Arial" w:hAnsi="Arial" w:cs="Arial"/>
          <w:szCs w:val="24"/>
        </w:rPr>
        <w:t xml:space="preserve"> with updated </w:t>
      </w:r>
      <w:r w:rsidR="006F5069" w:rsidRPr="00AD4BCA">
        <w:rPr>
          <w:rFonts w:ascii="Arial" w:hAnsi="Arial" w:cs="Arial"/>
          <w:szCs w:val="24"/>
        </w:rPr>
        <w:t xml:space="preserve">application </w:t>
      </w:r>
      <w:r w:rsidR="004260EC" w:rsidRPr="00AD4BCA">
        <w:rPr>
          <w:rFonts w:ascii="Arial" w:hAnsi="Arial" w:cs="Arial"/>
          <w:szCs w:val="24"/>
        </w:rPr>
        <w:t>materials</w:t>
      </w:r>
      <w:r w:rsidR="00DF792E" w:rsidRPr="00AD4BCA">
        <w:rPr>
          <w:rFonts w:ascii="Arial" w:hAnsi="Arial" w:cs="Arial"/>
          <w:szCs w:val="24"/>
        </w:rPr>
        <w:t>; and</w:t>
      </w:r>
    </w:p>
    <w:p w14:paraId="50D93A35" w14:textId="77777777" w:rsidR="00FF7694" w:rsidRPr="00AD4BCA" w:rsidRDefault="00FF7694">
      <w:pPr>
        <w:rPr>
          <w:rFonts w:ascii="Arial" w:hAnsi="Arial" w:cs="Arial"/>
          <w:sz w:val="24"/>
          <w:szCs w:val="24"/>
        </w:rPr>
      </w:pPr>
    </w:p>
    <w:p w14:paraId="76BB49D5" w14:textId="77777777" w:rsidR="00A56004"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684156" w:rsidRPr="00AD4BCA">
        <w:rPr>
          <w:rFonts w:ascii="Arial" w:hAnsi="Arial" w:cs="Arial"/>
          <w:szCs w:val="24"/>
        </w:rPr>
        <w:t>Central Queens Academy Charter School, an existing education corporation (the “Education Corporation”</w:t>
      </w:r>
      <w:r w:rsidR="004949D1" w:rsidRPr="00AD4BCA">
        <w:rPr>
          <w:rFonts w:ascii="Arial" w:hAnsi="Arial" w:cs="Arial"/>
          <w:szCs w:val="24"/>
        </w:rPr>
        <w:t xml:space="preserve"> or </w:t>
      </w:r>
      <w:r w:rsidR="004949D1" w:rsidRPr="00AD4BCA">
        <w:rPr>
          <w:rFonts w:ascii="Arial" w:hAnsi="Arial" w:cs="Arial"/>
          <w:szCs w:val="24"/>
        </w:rPr>
        <w:lastRenderedPageBreak/>
        <w:t>“Applicant”</w:t>
      </w:r>
      <w:r w:rsidR="00684156" w:rsidRPr="00AD4BCA">
        <w:rPr>
          <w:rFonts w:ascii="Arial" w:hAnsi="Arial" w:cs="Arial"/>
          <w:szCs w:val="24"/>
        </w:rPr>
        <w:t>), submitted a</w:t>
      </w:r>
      <w:r w:rsidR="00EB1C66" w:rsidRPr="00AD4BCA">
        <w:rPr>
          <w:rFonts w:ascii="Arial" w:hAnsi="Arial" w:cs="Arial"/>
          <w:szCs w:val="24"/>
        </w:rPr>
        <w:t>n updated</w:t>
      </w:r>
      <w:r w:rsidR="00684156" w:rsidRPr="00AD4BCA">
        <w:rPr>
          <w:rFonts w:ascii="Arial" w:hAnsi="Arial" w:cs="Arial"/>
          <w:szCs w:val="24"/>
        </w:rPr>
        <w:t xml:space="preserve"> proposal seeking authority to operate one </w:t>
      </w:r>
      <w:r w:rsidR="004949D1" w:rsidRPr="00AD4BCA">
        <w:rPr>
          <w:rFonts w:ascii="Arial" w:hAnsi="Arial" w:cs="Arial"/>
          <w:szCs w:val="24"/>
        </w:rPr>
        <w:t>additional charter school, Central Queens Academy Charter School II</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the Albany 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p>
    <w:p w14:paraId="5915F0AB" w14:textId="77777777" w:rsidR="00A56004" w:rsidRPr="00AD4BCA" w:rsidRDefault="00A56004" w:rsidP="00653BBD">
      <w:pPr>
        <w:pStyle w:val="BodyTextIndent2"/>
        <w:ind w:right="720"/>
        <w:jc w:val="both"/>
        <w:rPr>
          <w:rFonts w:ascii="Arial" w:hAnsi="Arial" w:cs="Arial"/>
          <w:color w:val="000000"/>
          <w:szCs w:val="24"/>
        </w:rPr>
      </w:pPr>
    </w:p>
    <w:p w14:paraId="28B34CCC" w14:textId="3B55F3E1" w:rsidR="00E4062B" w:rsidRPr="00AD4BCA" w:rsidRDefault="00A56004" w:rsidP="00653BBD">
      <w:pPr>
        <w:pStyle w:val="BodyTextIndent2"/>
        <w:ind w:right="720"/>
        <w:jc w:val="both"/>
        <w:rPr>
          <w:rFonts w:ascii="Arial" w:hAnsi="Arial" w:cs="Arial"/>
          <w:szCs w:val="24"/>
        </w:rPr>
      </w:pPr>
      <w:r w:rsidRPr="00AD4BCA">
        <w:rPr>
          <w:rFonts w:ascii="Arial" w:hAnsi="Arial" w:cs="Arial"/>
          <w:color w:val="000000"/>
          <w:szCs w:val="24"/>
          <w:u w:val="single"/>
        </w:rPr>
        <w:t>Whereas</w:t>
      </w:r>
      <w:r w:rsidRPr="00AD4BCA">
        <w:rPr>
          <w:rFonts w:ascii="Arial" w:hAnsi="Arial" w:cs="Arial"/>
          <w:color w:val="000000"/>
          <w:szCs w:val="24"/>
        </w:rPr>
        <w:t xml:space="preserve"> the Education Corporation </w:t>
      </w:r>
      <w:r w:rsidR="00E425FE">
        <w:rPr>
          <w:rFonts w:ascii="Arial" w:hAnsi="Arial" w:cs="Arial"/>
          <w:color w:val="000000"/>
          <w:szCs w:val="24"/>
        </w:rPr>
        <w:t xml:space="preserve">requests </w:t>
      </w:r>
      <w:r w:rsidR="006B52E0" w:rsidRPr="00AD4BCA">
        <w:rPr>
          <w:rFonts w:ascii="Arial" w:hAnsi="Arial" w:cs="Arial"/>
          <w:color w:val="000000"/>
          <w:szCs w:val="24"/>
        </w:rPr>
        <w:t xml:space="preserve">the education corporation to be </w:t>
      </w:r>
      <w:r w:rsidRPr="00AD4BCA">
        <w:rPr>
          <w:rFonts w:ascii="Arial" w:hAnsi="Arial" w:cs="Arial"/>
          <w:color w:val="000000"/>
          <w:szCs w:val="24"/>
        </w:rPr>
        <w:t>renamed “</w:t>
      </w:r>
      <w:r w:rsidR="006B52E0" w:rsidRPr="00AD4BCA">
        <w:rPr>
          <w:rFonts w:ascii="Arial" w:hAnsi="Arial" w:cs="Arial"/>
          <w:color w:val="000000"/>
          <w:szCs w:val="24"/>
        </w:rPr>
        <w:t>Central Queens Academy Charter Schools</w:t>
      </w:r>
      <w:r w:rsidRPr="00AD4BCA">
        <w:rPr>
          <w:rFonts w:ascii="Arial" w:hAnsi="Arial" w:cs="Arial"/>
          <w:color w:val="000000"/>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w:t>
      </w:r>
      <w:proofErr w:type="gramStart"/>
      <w:r w:rsidRPr="00AD4BCA">
        <w:rPr>
          <w:rFonts w:ascii="Arial" w:hAnsi="Arial" w:cs="Arial"/>
          <w:color w:val="000000"/>
          <w:szCs w:val="24"/>
        </w:rPr>
        <w:t>on:</w:t>
      </w:r>
      <w:proofErr w:type="gramEnd"/>
      <w:r w:rsidRPr="00AD4BCA">
        <w:rPr>
          <w:rFonts w:ascii="Arial" w:hAnsi="Arial" w:cs="Arial"/>
          <w:color w:val="000000"/>
          <w:szCs w:val="24"/>
        </w:rPr>
        <w:t xml:space="preserve">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lastRenderedPageBreak/>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 xml:space="preserve">2850(2);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w:t>
      </w:r>
      <w:proofErr w:type="gramStart"/>
      <w:r w:rsidRPr="00AD4BCA">
        <w:rPr>
          <w:rFonts w:ascii="Arial" w:hAnsi="Arial" w:cs="Arial"/>
          <w:szCs w:val="24"/>
        </w:rPr>
        <w:t>and,</w:t>
      </w:r>
      <w:proofErr w:type="gramEnd"/>
      <w:r w:rsidRPr="00AD4BCA">
        <w:rPr>
          <w:rFonts w:ascii="Arial" w:hAnsi="Arial" w:cs="Arial"/>
          <w:szCs w:val="24"/>
        </w:rPr>
        <w:t xml:space="preserve">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t>Resolved</w:t>
      </w:r>
      <w:r w:rsidRPr="00AD4BCA">
        <w:rPr>
          <w:rFonts w:ascii="Arial" w:hAnsi="Arial" w:cs="Arial"/>
          <w:color w:val="000000"/>
          <w:szCs w:val="24"/>
        </w:rPr>
        <w:t xml:space="preserve"> that the Recommended Proposal be, and hereby is, approved; </w:t>
      </w:r>
      <w:proofErr w:type="gramStart"/>
      <w:r w:rsidRPr="00AD4BCA">
        <w:rPr>
          <w:rFonts w:ascii="Arial" w:hAnsi="Arial" w:cs="Arial"/>
          <w:color w:val="000000"/>
          <w:szCs w:val="24"/>
        </w:rPr>
        <w:t>and,</w:t>
      </w:r>
      <w:proofErr w:type="gramEnd"/>
      <w:r w:rsidRPr="00AD4BCA">
        <w:rPr>
          <w:rFonts w:ascii="Arial" w:hAnsi="Arial" w:cs="Arial"/>
          <w:color w:val="000000"/>
          <w:szCs w:val="24"/>
        </w:rPr>
        <w:t xml:space="preserve">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591BD64B" w14:textId="7EF1E1DF" w:rsidR="00AD4BCA" w:rsidRPr="00AD4BCA" w:rsidRDefault="00AD4BCA" w:rsidP="00E803EA">
      <w:pPr>
        <w:pStyle w:val="BodyTextIndent"/>
        <w:ind w:right="720" w:firstLine="0"/>
        <w:jc w:val="both"/>
        <w:rPr>
          <w:rFonts w:ascii="Arial" w:hAnsi="Arial" w:cs="Arial"/>
          <w:color w:val="000000"/>
          <w:szCs w:val="24"/>
        </w:rPr>
      </w:pPr>
      <w:r w:rsidRPr="00E425FE">
        <w:rPr>
          <w:rFonts w:ascii="Arial" w:hAnsi="Arial" w:cs="Arial"/>
          <w:color w:val="000000"/>
          <w:szCs w:val="24"/>
          <w:u w:val="single"/>
        </w:rPr>
        <w:t>Resolved</w:t>
      </w:r>
      <w:r w:rsidRPr="00E425FE">
        <w:rPr>
          <w:rFonts w:ascii="Arial" w:hAnsi="Arial" w:cs="Arial"/>
          <w:color w:val="000000"/>
          <w:szCs w:val="24"/>
        </w:rPr>
        <w:t xml:space="preserve"> </w:t>
      </w:r>
      <w:r w:rsidRPr="00AD4BCA">
        <w:rPr>
          <w:rFonts w:ascii="Arial" w:hAnsi="Arial" w:cs="Arial"/>
          <w:color w:val="000000"/>
          <w:szCs w:val="24"/>
        </w:rPr>
        <w:t>that the Education Corporation be renamed “</w:t>
      </w:r>
      <w:r w:rsidR="00E425FE">
        <w:rPr>
          <w:rFonts w:ascii="Arial" w:hAnsi="Arial" w:cs="Arial"/>
          <w:color w:val="000000"/>
          <w:szCs w:val="24"/>
        </w:rPr>
        <w:t xml:space="preserve">Central Queens Academy </w:t>
      </w:r>
      <w:r w:rsidRPr="00AD4BCA">
        <w:rPr>
          <w:rFonts w:ascii="Arial" w:hAnsi="Arial" w:cs="Arial"/>
          <w:color w:val="000000"/>
          <w:szCs w:val="24"/>
        </w:rPr>
        <w:t xml:space="preserve">Charter Schools”; </w:t>
      </w:r>
      <w:proofErr w:type="gramStart"/>
      <w:r w:rsidRPr="00AD4BCA">
        <w:rPr>
          <w:rFonts w:ascii="Arial" w:hAnsi="Arial" w:cs="Arial"/>
          <w:color w:val="000000"/>
          <w:szCs w:val="24"/>
        </w:rPr>
        <w:t>and,</w:t>
      </w:r>
      <w:proofErr w:type="gramEnd"/>
      <w:r w:rsidRPr="00AD4BCA">
        <w:rPr>
          <w:rFonts w:ascii="Arial" w:hAnsi="Arial" w:cs="Arial"/>
          <w:color w:val="000000"/>
          <w:szCs w:val="24"/>
        </w:rPr>
        <w:t xml:space="preserve"> be it furthe</w:t>
      </w:r>
      <w:r w:rsidR="00E425FE">
        <w:rPr>
          <w:rFonts w:ascii="Arial" w:hAnsi="Arial" w:cs="Arial"/>
          <w:color w:val="000000"/>
          <w:szCs w:val="24"/>
        </w:rPr>
        <w:t>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2E6196">
      <w:pPr>
        <w:ind w:firstLine="720"/>
        <w:jc w:val="both"/>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2E6196">
      <w:pPr>
        <w:pStyle w:val="BodyTextIndent"/>
        <w:tabs>
          <w:tab w:val="left" w:pos="720"/>
        </w:tabs>
        <w:ind w:left="0" w:firstLine="0"/>
        <w:jc w:val="both"/>
        <w:rPr>
          <w:rFonts w:ascii="Arial" w:hAnsi="Arial"/>
          <w:szCs w:val="24"/>
        </w:rPr>
      </w:pPr>
    </w:p>
    <w:p w14:paraId="2AF75193" w14:textId="2B1FDB32" w:rsidR="00CE73DD" w:rsidRPr="003812E7" w:rsidRDefault="00CE73DD" w:rsidP="002E6196">
      <w:pPr>
        <w:jc w:val="both"/>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530F108C">
        <w:rPr>
          <w:rFonts w:ascii="Arial" w:hAnsi="Arial"/>
          <w:sz w:val="24"/>
          <w:szCs w:val="24"/>
        </w:rPr>
        <w:t xml:space="preserve">Act </w:t>
      </w:r>
      <w:r>
        <w:rPr>
          <w:rFonts w:ascii="Arial" w:hAnsi="Arial"/>
          <w:sz w:val="24"/>
          <w:szCs w:val="24"/>
        </w:rPr>
        <w:t>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43B2F">
        <w:rPr>
          <w:rFonts w:ascii="Arial" w:hAnsi="Arial"/>
          <w:sz w:val="24"/>
          <w:szCs w:val="24"/>
        </w:rPr>
        <w:t>14</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F966E7">
        <w:rPr>
          <w:rFonts w:ascii="Arial" w:hAnsi="Arial"/>
          <w:sz w:val="24"/>
          <w:szCs w:val="24"/>
        </w:rPr>
        <w:t>October 4</w:t>
      </w:r>
      <w:r w:rsidR="00351E64">
        <w:rPr>
          <w:rFonts w:ascii="Arial" w:hAnsi="Arial"/>
          <w:sz w:val="24"/>
          <w:szCs w:val="24"/>
        </w:rPr>
        <w:t>,</w:t>
      </w:r>
      <w:r w:rsidR="003E0913" w:rsidRPr="00CF5F84">
        <w:rPr>
          <w:rFonts w:ascii="Arial" w:hAnsi="Arial"/>
          <w:sz w:val="24"/>
          <w:szCs w:val="24"/>
        </w:rPr>
        <w:t xml:space="preserve"> 202</w:t>
      </w:r>
      <w:r w:rsidR="00743B2F">
        <w:rPr>
          <w:rFonts w:ascii="Arial" w:hAnsi="Arial"/>
          <w:sz w:val="24"/>
          <w:szCs w:val="24"/>
        </w:rPr>
        <w:t>3</w:t>
      </w:r>
      <w:r>
        <w:rPr>
          <w:rFonts w:ascii="Arial" w:hAnsi="Arial"/>
          <w:sz w:val="24"/>
          <w:szCs w:val="24"/>
        </w:rPr>
        <w:t>.</w:t>
      </w:r>
    </w:p>
    <w:p w14:paraId="324DCF68" w14:textId="77777777" w:rsidR="003812E7" w:rsidRDefault="003812E7" w:rsidP="002E6196">
      <w:pPr>
        <w:pStyle w:val="BodyTextIndent"/>
        <w:tabs>
          <w:tab w:val="left" w:pos="720"/>
        </w:tabs>
        <w:ind w:left="0" w:firstLine="0"/>
        <w:jc w:val="both"/>
        <w:rPr>
          <w:rFonts w:ascii="Arial" w:hAnsi="Arial"/>
          <w:szCs w:val="24"/>
        </w:rPr>
      </w:pPr>
    </w:p>
    <w:p w14:paraId="467F2BE7" w14:textId="77777777" w:rsidR="002E6196" w:rsidRDefault="00CE73DD" w:rsidP="002E6196">
      <w:pPr>
        <w:pStyle w:val="BodyTextIndent"/>
        <w:tabs>
          <w:tab w:val="left" w:pos="720"/>
        </w:tabs>
        <w:ind w:left="0" w:firstLine="0"/>
        <w:jc w:val="both"/>
        <w:rPr>
          <w:rFonts w:ascii="Arial" w:hAnsi="Arial"/>
        </w:rPr>
      </w:pPr>
      <w:r w:rsidRPr="0007555B">
        <w:rPr>
          <w:rFonts w:ascii="Arial" w:hAnsi="Arial"/>
          <w:szCs w:val="24"/>
        </w:rPr>
        <w:tab/>
      </w:r>
      <w:r w:rsidRPr="177E754B">
        <w:rPr>
          <w:rFonts w:ascii="Arial" w:hAnsi="Arial"/>
        </w:rPr>
        <w:t xml:space="preserve">The </w:t>
      </w:r>
      <w:r w:rsidR="57FE57B3" w:rsidRPr="177E754B">
        <w:rPr>
          <w:rFonts w:ascii="Arial" w:hAnsi="Arial"/>
        </w:rPr>
        <w:t>Institute</w:t>
      </w:r>
      <w:r w:rsidRPr="177E754B">
        <w:rPr>
          <w:rFonts w:ascii="Arial" w:hAnsi="Arial"/>
        </w:rPr>
        <w:t xml:space="preserve"> released and broadly distributed a draft RFP for public comment on</w:t>
      </w:r>
      <w:r w:rsidR="00CA79DF" w:rsidRPr="177E754B">
        <w:rPr>
          <w:rFonts w:ascii="Arial" w:hAnsi="Arial"/>
        </w:rPr>
        <w:t xml:space="preserve"> January </w:t>
      </w:r>
      <w:r w:rsidR="007063B9" w:rsidRPr="177E754B">
        <w:rPr>
          <w:rFonts w:ascii="Arial" w:hAnsi="Arial"/>
        </w:rPr>
        <w:t>9</w:t>
      </w:r>
      <w:r w:rsidR="00CA79DF" w:rsidRPr="177E754B">
        <w:rPr>
          <w:rFonts w:ascii="Arial" w:hAnsi="Arial"/>
        </w:rPr>
        <w:t>, 202</w:t>
      </w:r>
      <w:r w:rsidR="007063B9" w:rsidRPr="177E754B">
        <w:rPr>
          <w:rFonts w:ascii="Arial" w:hAnsi="Arial"/>
        </w:rPr>
        <w:t>3</w:t>
      </w:r>
      <w:r w:rsidRPr="177E754B">
        <w:rPr>
          <w:rFonts w:ascii="Arial" w:hAnsi="Arial"/>
        </w:rPr>
        <w:t xml:space="preserve">.  </w:t>
      </w:r>
      <w:r w:rsidR="00903E3F">
        <w:rPr>
          <w:rFonts w:ascii="Arial" w:hAnsi="Arial"/>
          <w:szCs w:val="24"/>
        </w:rPr>
        <w:t>The Institute released the RFP on February 10, 2023, and the supplement to the RFP was issued on June 21, 2023</w:t>
      </w:r>
      <w:r w:rsidR="00903E3F" w:rsidRPr="0037654C">
        <w:rPr>
          <w:rFonts w:ascii="Arial" w:hAnsi="Arial"/>
          <w:szCs w:val="24"/>
        </w:rPr>
        <w:t>.</w:t>
      </w:r>
      <w:r w:rsidR="00903E3F">
        <w:rPr>
          <w:rFonts w:ascii="Arial" w:hAnsi="Arial"/>
          <w:szCs w:val="24"/>
        </w:rPr>
        <w:t xml:space="preserve"> </w:t>
      </w:r>
      <w:r w:rsidRPr="177E754B">
        <w:rPr>
          <w:rFonts w:ascii="Arial" w:hAnsi="Arial"/>
        </w:rPr>
        <w:t>The Institute received the proposal to be approved by this resolution by the due date in the</w:t>
      </w:r>
      <w:r w:rsidR="00621CD0" w:rsidRPr="177E754B">
        <w:rPr>
          <w:rFonts w:ascii="Arial" w:hAnsi="Arial"/>
        </w:rPr>
        <w:t xml:space="preserve"> supplement to the</w:t>
      </w:r>
      <w:r w:rsidRPr="177E754B">
        <w:rPr>
          <w:rFonts w:ascii="Arial" w:hAnsi="Arial"/>
        </w:rPr>
        <w:t xml:space="preserve"> RFP.</w:t>
      </w:r>
      <w:r w:rsidR="00FE5103" w:rsidRPr="177E754B">
        <w:rPr>
          <w:rFonts w:ascii="Arial" w:hAnsi="Arial"/>
        </w:rPr>
        <w:t xml:space="preserve"> </w:t>
      </w:r>
      <w:r w:rsidR="003812E7" w:rsidRPr="177E754B">
        <w:rPr>
          <w:rFonts w:ascii="Arial" w:hAnsi="Arial"/>
        </w:rPr>
        <w:t xml:space="preserve">Prior to recommending the proposed charter school for approval, the Institute, acting on behalf of the Board of Trustees, conducted a rigorous review of the proposal and published its findings and recommendations in a Summary of Findings and Recommendations (copy on file in the Office of the Secretary of the University and in the Albany office of the Institute, and available </w:t>
      </w:r>
    </w:p>
    <w:p w14:paraId="58D50035" w14:textId="77777777" w:rsidR="002E6196" w:rsidRDefault="002E6196">
      <w:pPr>
        <w:rPr>
          <w:rFonts w:ascii="Arial" w:hAnsi="Arial"/>
          <w:sz w:val="24"/>
        </w:rPr>
      </w:pPr>
      <w:r>
        <w:rPr>
          <w:rFonts w:ascii="Arial" w:hAnsi="Arial"/>
        </w:rPr>
        <w:br w:type="page"/>
      </w:r>
    </w:p>
    <w:p w14:paraId="35981B5C" w14:textId="17C417E2" w:rsidR="003812E7" w:rsidRPr="00903E3F" w:rsidRDefault="003812E7" w:rsidP="002E6196">
      <w:pPr>
        <w:pStyle w:val="BodyTextIndent"/>
        <w:tabs>
          <w:tab w:val="left" w:pos="720"/>
        </w:tabs>
        <w:ind w:left="0" w:firstLine="0"/>
        <w:rPr>
          <w:rFonts w:ascii="Arial" w:hAnsi="Arial"/>
        </w:rPr>
      </w:pPr>
      <w:r w:rsidRPr="177E754B">
        <w:rPr>
          <w:rFonts w:ascii="Arial" w:hAnsi="Arial"/>
        </w:rPr>
        <w:lastRenderedPageBreak/>
        <w:t xml:space="preserve">at: </w:t>
      </w:r>
      <w:hyperlink r:id="rId16" w:history="1">
        <w:r w:rsidR="005A6944" w:rsidRPr="000E6673">
          <w:rPr>
            <w:rStyle w:val="Hyperlink"/>
            <w:rFonts w:ascii="Arial" w:hAnsi="Arial" w:cs="Arial"/>
          </w:rPr>
          <w:t>https://www.suny.edu/about/leadership/board-of -trustees/meetings/</w:t>
        </w:r>
        <w:proofErr w:type="spellStart"/>
        <w:r w:rsidR="005A6944" w:rsidRPr="000E6673">
          <w:rPr>
            <w:rStyle w:val="Hyperlink"/>
            <w:rFonts w:ascii="Arial" w:hAnsi="Arial" w:cs="Arial"/>
          </w:rPr>
          <w:t>meetingNotices.cfm</w:t>
        </w:r>
        <w:proofErr w:type="spellEnd"/>
      </w:hyperlink>
      <w:r w:rsidR="00351E64" w:rsidRPr="00D4677A">
        <w:rPr>
          <w:rStyle w:val="Hyperlink"/>
          <w:rFonts w:ascii="Arial" w:hAnsi="Arial" w:cs="Arial"/>
          <w:color w:val="auto"/>
          <w:u w:val="none"/>
        </w:rPr>
        <w:t>)</w:t>
      </w:r>
      <w:r w:rsidRPr="177E754B">
        <w:rPr>
          <w:rFonts w:ascii="Arial" w:hAnsi="Arial" w:cs="Arial"/>
        </w:rPr>
        <w:t>,</w:t>
      </w:r>
      <w:r w:rsidRPr="177E754B">
        <w:rPr>
          <w:rFonts w:ascii="Arial" w:hAnsi="Arial"/>
        </w:rPr>
        <w:t xml:space="preserve"> which was made available to the Board of Trustees.  </w:t>
      </w:r>
    </w:p>
    <w:p w14:paraId="275E5F4E" w14:textId="77777777" w:rsidR="003812E7" w:rsidRPr="0007555B" w:rsidRDefault="003812E7" w:rsidP="002E6196">
      <w:pPr>
        <w:pStyle w:val="BodyTextIndent"/>
        <w:tabs>
          <w:tab w:val="left" w:pos="720"/>
        </w:tabs>
        <w:ind w:left="0" w:firstLine="0"/>
        <w:jc w:val="both"/>
        <w:rPr>
          <w:rFonts w:ascii="Arial" w:hAnsi="Arial"/>
          <w:szCs w:val="24"/>
        </w:rPr>
      </w:pPr>
    </w:p>
    <w:p w14:paraId="6A7B06BB" w14:textId="1A2EC9E7" w:rsidR="003812E7" w:rsidRPr="007B5BDF" w:rsidRDefault="003812E7" w:rsidP="002E6196">
      <w:pPr>
        <w:jc w:val="both"/>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October 4, 2023,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3EAC" w14:textId="77777777" w:rsidR="00F366F4" w:rsidRDefault="00F366F4">
      <w:r>
        <w:separator/>
      </w:r>
    </w:p>
  </w:endnote>
  <w:endnote w:type="continuationSeparator" w:id="0">
    <w:p w14:paraId="1A45CB51" w14:textId="77777777" w:rsidR="00F366F4" w:rsidRDefault="00F3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F8D" w14:textId="77777777" w:rsidR="00F366F4" w:rsidRDefault="00F366F4">
      <w:r>
        <w:separator/>
      </w:r>
    </w:p>
  </w:footnote>
  <w:footnote w:type="continuationSeparator" w:id="0">
    <w:p w14:paraId="0AC38F8F" w14:textId="77777777" w:rsidR="00F366F4" w:rsidRDefault="00F3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0C32C0F3"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 xml:space="preserve">October </w:t>
    </w:r>
    <w:r w:rsidR="00653BBD">
      <w:rPr>
        <w:rStyle w:val="PageNumber"/>
        <w:rFonts w:ascii="Arial" w:hAnsi="Arial" w:cs="Arial"/>
        <w:sz w:val="24"/>
        <w:szCs w:val="24"/>
      </w:rPr>
      <w:t>12</w:t>
    </w:r>
    <w:r w:rsidR="00D3787D">
      <w:rPr>
        <w:rStyle w:val="PageNumber"/>
        <w:rFonts w:ascii="Arial" w:hAnsi="Arial" w:cs="Arial"/>
        <w:sz w:val="24"/>
        <w:szCs w:val="24"/>
      </w:rPr>
      <w:t>, 202</w:t>
    </w:r>
    <w:r w:rsidR="00653BBD">
      <w:rPr>
        <w:rStyle w:val="PageNumber"/>
        <w:rFonts w:ascii="Arial" w:hAnsi="Arial" w:cs="Arial"/>
        <w:sz w:val="24"/>
        <w:szCs w:val="24"/>
      </w:rPr>
      <w:t>3</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210306094">
    <w:abstractNumId w:val="3"/>
  </w:num>
  <w:num w:numId="2" w16cid:durableId="1332367663">
    <w:abstractNumId w:val="1"/>
  </w:num>
  <w:num w:numId="3" w16cid:durableId="60905651">
    <w:abstractNumId w:val="0"/>
  </w:num>
  <w:num w:numId="4" w16cid:durableId="60118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C9F"/>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266B"/>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27E7"/>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196"/>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6E7"/>
    <w:rsid w:val="00457987"/>
    <w:rsid w:val="00460525"/>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944"/>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90578"/>
    <w:rsid w:val="00690A54"/>
    <w:rsid w:val="00691760"/>
    <w:rsid w:val="00694D75"/>
    <w:rsid w:val="006A318D"/>
    <w:rsid w:val="006A3D3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3F"/>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1559"/>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AC8"/>
    <w:rsid w:val="00FF1C06"/>
    <w:rsid w:val="00FF5012"/>
    <w:rsid w:val="00FF7694"/>
    <w:rsid w:val="00FF76F9"/>
    <w:rsid w:val="05C707BE"/>
    <w:rsid w:val="177E754B"/>
    <w:rsid w:val="1A2D89F0"/>
    <w:rsid w:val="227C63D4"/>
    <w:rsid w:val="530F108C"/>
    <w:rsid w:val="57FE57B3"/>
    <w:rsid w:val="61C529B9"/>
    <w:rsid w:val="69CBE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45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20-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5592-0FF7-4E41-A205-08F27E8B5CA9}">
  <ds:schemaRefs>
    <ds:schemaRef ds:uri="http://schemas.microsoft.com/office/2006/documentManagement/types"/>
    <ds:schemaRef ds:uri="http://www.w3.org/XML/1998/namespace"/>
    <ds:schemaRef ds:uri="http://purl.org/dc/elements/1.1/"/>
    <ds:schemaRef ds:uri="36867089-0e66-4887-8f12-d9d978369158"/>
    <ds:schemaRef ds:uri="http://purl.org/dc/dcmitype/"/>
    <ds:schemaRef ds:uri="http://schemas.openxmlformats.org/package/2006/metadata/core-properties"/>
    <ds:schemaRef ds:uri="http://schemas.microsoft.com/office/infopath/2007/PartnerControls"/>
    <ds:schemaRef ds:uri="a2c954e0-ebc8-427c-aa29-5769d45c15a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D21BBDA-104C-4932-A600-529A9BAD907B}"/>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1019</Words>
  <Characters>5790</Characters>
  <Application>Microsoft Office Word</Application>
  <DocSecurity>0</DocSecurity>
  <Lines>152</Lines>
  <Paragraphs>32</Paragraphs>
  <ScaleCrop>false</ScaleCrop>
  <Company>Purchase College</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10</cp:revision>
  <cp:lastPrinted>2023-09-19T15:15:00Z</cp:lastPrinted>
  <dcterms:created xsi:type="dcterms:W3CDTF">2023-09-26T19:59:00Z</dcterms:created>
  <dcterms:modified xsi:type="dcterms:W3CDTF">2023-09-27T16:01:00Z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GrammarlyDocumentId">
    <vt:lpwstr>e3e2cc364a6e3937cfb477a5e5916824b0b058975a5ae542218574cad6975e1c</vt:lpwstr>
  </property>
</Properties>
</file>